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State Chancellery published amendments to the Law on Support for Ukrainian Civilians to clarify residence rights for beneficiaries of temporary protection. The draft would align the decision deadline for temporary residence permits with the Immigration Law (90 days) and allow eligible Ukrainian civilians to apply for a permanent residence permit after 5 years of lawful residence, including time spent under both long-stay visas and temporary protection, provided they meet integration requirements.</w:t>
      </w:r>
    </w:p>
    <w:p>
      <w:pPr/>
      <w:r>
        <w:rPr/>
        <w:t xml:space="preserve">The public consultation is open from 1-15 July 2026. </w:t>
      </w:r>
      <w:r>
        <w:rPr/>
        <w:t xml:space="preserve"> </w:t>
      </w:r>
    </w:p>
    <w:p>
      <w:pPr/>
      <w:r>
        <w:rPr>
          <w:b w:val="1"/>
          <w:bCs w:val="1"/>
        </w:rPr>
        <w:t xml:space="preserve">Source(s)</w:t>
      </w:r>
    </w:p>
    <w:p>
      <w:pPr>
        <w:numPr>
          <w:ilvl w:val="0"/>
          <w:numId w:val="4"/>
        </w:numPr>
      </w:pPr>
      <w:r>
        <w:rPr/>
        <w:t xml:space="preserve">State Chancellery | Valsts Kanceleja (1 July, 2026), Grozījumi Ukrainas civiliedzīvotāju atbalsta likumā [ Amendments to the Law on Support for Civilians of Ukraine],</w:t>
      </w:r>
      <w:hyperlink r:id="rId8" w:history="1">
        <w:r>
          <w:rPr>
            <w:color w:val="var(--word-link)"/>
          </w:rPr>
          <w:t xml:space="preserve">https://tapportals.mk.gov.lv/legal_acts/9f116f83-1dc7-447b-b993-48fa69a43b60</w:t>
        </w:r>
      </w:hyperlink>
    </w:p>
    <w:p>
      <w:pPr/>
      <w:r>
        <w:rPr>
          <w:b w:val="1"/>
          <w:bCs w:val="1"/>
        </w:rPr>
        <w:t xml:space="preserve">Date of development</w:t>
      </w:r>
    </w:p>
    <w:p>
      <w:pPr/>
      <w:r>
        <w:rPr/>
        <w:t xml:space="preserve">01.07.2026</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F3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tapportals.mk.gov.lv/legal_acts/9f116f83-1dc7-447b-b993-48fa69a43b6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2026-07-11T17:47:02+00:00</dcterms:created>
  <dcterms:modified xsi:type="dcterms:W3CDTF">2026-07-11T17:47:02+00:00</dcterms:modified>
</cp:coreProperties>
</file>

<file path=docProps/custom.xml><?xml version="1.0" encoding="utf-8"?>
<Properties xmlns="http://schemas.openxmlformats.org/officeDocument/2006/custom-properties" xmlns:vt="http://schemas.openxmlformats.org/officeDocument/2006/docPropsVTypes"/>
</file>