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EU Pact on Migration and Asylum becomes operational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</w:t>
      </w:r>
      <w:hyperlink r:id="rId9" w:history="1">
        <w:r>
          <w:rPr>
            <w:color w:val="var(--word-link)"/>
          </w:rPr>
          <w:t xml:space="preserve">EU's Pact on Migration and Asylum</w:t>
        </w:r>
      </w:hyperlink>
      <w:r>
        <w:rPr/>
        <w:t xml:space="preserve"> officially entered into application on 12 June 2026, following a two-year transition period. The Pact consists of </w:t>
      </w:r>
      <w:hyperlink r:id="rId10" w:history="1">
        <w:r>
          <w:rPr>
            <w:color w:val="var(--word-link)"/>
          </w:rPr>
          <w:t xml:space="preserve">10 legislative acts</w:t>
        </w:r>
      </w:hyperlink>
      <w:r>
        <w:rPr/>
        <w:t xml:space="preserve"> aimed to create a more efficient common migration and asylum system across the European Union.</w:t>
      </w:r>
      <w:br/>
      <w:br/>
      <w:r>
        <w:rPr/>
        <w:t xml:space="preserve">Some of the changes includes:</w:t>
      </w:r>
    </w:p>
    <w:p>
      <w:pPr/>
      <w:r>
        <w:rPr>
          <w:b w:val="1"/>
          <w:bCs w:val="1"/>
        </w:rPr>
        <w:t xml:space="preserve">External border management</w:t>
      </w:r>
      <w:br/>
      <w:r>
        <w:rPr/>
        <w:t xml:space="preserve">All irregular arrivals are now subject to mandatory:</w:t>
      </w:r>
    </w:p>
    <w:p>
      <w:pPr>
        <w:numPr>
          <w:ilvl w:val="0"/>
          <w:numId w:val="4"/>
        </w:numPr>
      </w:pPr>
      <w:r>
        <w:rPr/>
        <w:t xml:space="preserve">Registration and identity verification;</w:t>
      </w:r>
    </w:p>
    <w:p>
      <w:pPr>
        <w:numPr>
          <w:ilvl w:val="0"/>
          <w:numId w:val="4"/>
        </w:numPr>
      </w:pPr>
      <w:r>
        <w:rPr/>
        <w:t xml:space="preserve">Security, health, and vulnerability assessments;</w:t>
      </w:r>
    </w:p>
    <w:p>
      <w:pPr>
        <w:numPr>
          <w:ilvl w:val="0"/>
          <w:numId w:val="4"/>
        </w:numPr>
      </w:pPr>
      <w:r>
        <w:rPr/>
        <w:t xml:space="preserve">Uniform screening procedures across all Member States.</w:t>
      </w:r>
    </w:p>
    <w:p>
      <w:pPr/>
      <w:r>
        <w:rPr/>
        <w:t xml:space="preserve">Screening must be completed within:</w:t>
      </w:r>
    </w:p>
    <w:p>
      <w:pPr>
        <w:numPr>
          <w:ilvl w:val="0"/>
          <w:numId w:val="5"/>
        </w:numPr>
      </w:pPr>
      <w:r>
        <w:rPr/>
        <w:t xml:space="preserve">7 days for arrivals at external borders;</w:t>
      </w:r>
    </w:p>
    <w:p>
      <w:pPr>
        <w:numPr>
          <w:ilvl w:val="0"/>
          <w:numId w:val="5"/>
        </w:numPr>
      </w:pPr>
      <w:r>
        <w:rPr/>
        <w:t xml:space="preserve">3 days for persons apprehended within EU territory.</w:t>
      </w:r>
    </w:p>
    <w:p>
      <w:pPr/>
      <w:r>
        <w:rPr/>
        <w:t xml:space="preserve">Applicants are subsequently directed to the appropriate asylum or return procedure.</w:t>
      </w:r>
      <w:br/>
      <w:br/>
      <w:r>
        <w:rPr>
          <w:b w:val="1"/>
          <w:bCs w:val="1"/>
        </w:rPr>
        <w:t xml:space="preserve">Mandatory</w:t>
      </w:r>
      <w:r>
        <w:rPr/>
        <w:t xml:space="preserve"> </w:t>
      </w:r>
      <w:hyperlink r:id="rId11" w:history="1">
        <w:r>
          <w:rPr>
            <w:color w:val="var(--word-link)"/>
          </w:rPr>
          <w:t xml:space="preserve">border procedures</w:t>
        </w:r>
      </w:hyperlink>
      <w:br/>
      <w:r>
        <w:rPr/>
        <w:t xml:space="preserve">Certain applicants must remain at the border while their cases are processed, including:</w:t>
      </w:r>
    </w:p>
    <w:p>
      <w:pPr>
        <w:numPr>
          <w:ilvl w:val="0"/>
          <w:numId w:val="6"/>
        </w:numPr>
      </w:pPr>
      <w:r>
        <w:rPr/>
        <w:t xml:space="preserve">Persons unlikely to qualify for international protection;</w:t>
      </w:r>
    </w:p>
    <w:p>
      <w:pPr>
        <w:numPr>
          <w:ilvl w:val="0"/>
          <w:numId w:val="6"/>
        </w:numPr>
      </w:pPr>
      <w:r>
        <w:rPr/>
        <w:t xml:space="preserve">Individuals posing security risks;</w:t>
      </w:r>
    </w:p>
    <w:p>
      <w:pPr>
        <w:numPr>
          <w:ilvl w:val="0"/>
          <w:numId w:val="6"/>
        </w:numPr>
      </w:pPr>
      <w:r>
        <w:rPr/>
        <w:t xml:space="preserve">Applicants who provide misleading information.</w:t>
      </w:r>
    </w:p>
    <w:p>
      <w:pPr/>
      <w:r>
        <w:rPr>
          <w:b w:val="1"/>
          <w:bCs w:val="1"/>
        </w:rPr>
        <w:t xml:space="preserve">Faster and harmonised procedures</w:t>
      </w:r>
      <w:br/>
      <w:r>
        <w:rPr/>
        <w:t xml:space="preserve">The Pact introduces shorter deadlines for asylum decisions, strengthens measures against abusive and repeat applications and improves tracking through the upgraded Eurodac database.</w:t>
      </w:r>
    </w:p>
    <w:p>
      <w:pPr/>
      <w:r>
        <w:rPr>
          <w:b w:val="1"/>
          <w:bCs w:val="1"/>
        </w:rPr>
        <w:t xml:space="preserve">Stronger protection of the rights of applicants</w:t>
      </w:r>
      <w:br/>
      <w:r>
        <w:rPr/>
        <w:t xml:space="preserve">New </w:t>
      </w:r>
      <w:hyperlink r:id="rId12" w:history="1">
        <w:r>
          <w:rPr>
            <w:color w:val="var(--word-link)"/>
          </w:rPr>
          <w:t xml:space="preserve">reception standards</w:t>
        </w:r>
      </w:hyperlink>
      <w:r>
        <w:rPr/>
        <w:t xml:space="preserve"> guarantee:</w:t>
      </w:r>
    </w:p>
    <w:p>
      <w:pPr>
        <w:numPr>
          <w:ilvl w:val="0"/>
          <w:numId w:val="7"/>
        </w:numPr>
      </w:pPr>
      <w:r>
        <w:rPr/>
        <w:t xml:space="preserve">Free legal counselling and assistance throughout proceedings, including appeals;</w:t>
      </w:r>
    </w:p>
    <w:p>
      <w:pPr>
        <w:numPr>
          <w:ilvl w:val="0"/>
          <w:numId w:val="7"/>
        </w:numPr>
      </w:pPr>
      <w:r>
        <w:rPr/>
        <w:t xml:space="preserve">Guidance on rights, obligations, and asylum procedures;</w:t>
      </w:r>
    </w:p>
    <w:p>
      <w:pPr>
        <w:numPr>
          <w:ilvl w:val="0"/>
          <w:numId w:val="7"/>
        </w:numPr>
      </w:pPr>
      <w:r>
        <w:rPr/>
        <w:t xml:space="preserve">Special support for vulnerable applicants;</w:t>
      </w:r>
    </w:p>
    <w:p>
      <w:pPr>
        <w:numPr>
          <w:ilvl w:val="0"/>
          <w:numId w:val="7"/>
        </w:numPr>
      </w:pPr>
      <w:r>
        <w:rPr/>
        <w:t xml:space="preserve">Common EU reception standards and capacity planning.</w:t>
      </w:r>
    </w:p>
    <w:p>
      <w:pPr/>
      <w:r>
        <w:rPr>
          <w:b w:val="1"/>
          <w:bCs w:val="1"/>
        </w:rPr>
        <w:t xml:space="preserve">New Solidarity Mechanism</w:t>
      </w:r>
      <w:br/>
      <w:r>
        <w:rPr/>
        <w:t xml:space="preserve">The Pact creates a </w:t>
      </w:r>
      <w:hyperlink r:id="rId13" w:history="1">
        <w:r>
          <w:rPr>
            <w:color w:val="var(--word-link)"/>
          </w:rPr>
          <w:t xml:space="preserve">mandatory but flexible solidarity system</w:t>
        </w:r>
      </w:hyperlink>
      <w:r>
        <w:rPr/>
        <w:t xml:space="preserve"> to support Member States facing high migratory pressure, including :</w:t>
      </w:r>
    </w:p>
    <w:p>
      <w:pPr>
        <w:numPr>
          <w:ilvl w:val="0"/>
          <w:numId w:val="8"/>
        </w:numPr>
      </w:pPr>
      <w:r>
        <w:rPr/>
        <w:t xml:space="preserve">Clear responsibility rules, generally linked to the country of first entry;</w:t>
      </w:r>
    </w:p>
    <w:p>
      <w:pPr>
        <w:numPr>
          <w:ilvl w:val="0"/>
          <w:numId w:val="8"/>
        </w:numPr>
      </w:pPr>
      <w:r>
        <w:rPr/>
        <w:t xml:space="preserve">Faster procedures for handling secondary movements within the EU;</w:t>
      </w:r>
    </w:p>
    <w:p>
      <w:pPr>
        <w:numPr>
          <w:ilvl w:val="0"/>
          <w:numId w:val="8"/>
        </w:numPr>
      </w:pPr>
      <w:r>
        <w:rPr/>
        <w:t xml:space="preserve">Established responsibilities throughout the asylum process;</w:t>
      </w:r>
    </w:p>
    <w:p>
      <w:pPr>
        <w:numPr>
          <w:ilvl w:val="0"/>
          <w:numId w:val="8"/>
        </w:numPr>
      </w:pPr>
      <w:r>
        <w:rPr/>
        <w:t xml:space="preserve">Support measures such as relocations, financial contributions, or other assistance when needed.</w:t>
      </w:r>
    </w:p>
    <w:p>
      <w:pPr/>
      <w:r>
        <w:rPr>
          <w:b w:val="1"/>
          <w:bCs w:val="1"/>
        </w:rPr>
        <w:t xml:space="preserve">Crisis framework</w:t>
      </w:r>
      <w:br/>
      <w:r>
        <w:rPr/>
        <w:t xml:space="preserve">For the first time, the EU has a </w:t>
      </w:r>
      <w:hyperlink r:id="rId14" w:history="1">
        <w:r>
          <w:rPr>
            <w:color w:val="var(--word-link)"/>
          </w:rPr>
          <w:t xml:space="preserve">dedicated legal framework to respond to migration emergencies</w:t>
        </w:r>
      </w:hyperlink>
      <w:r>
        <w:rPr/>
        <w:t xml:space="preserve">, including force majeure situations, accelerated asylum and return procedures and improved operational support from EUAA and Frontex.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9"/>
        </w:numPr>
      </w:pPr>
      <w:r>
        <w:rPr/>
        <w:t xml:space="preserve">European Commission (12 June, 2026), [New migration and asylum rules enter into application: what is changing? ],</w:t>
      </w:r>
      <w:hyperlink r:id="rId15" w:history="1">
        <w:r>
          <w:rPr>
            <w:color w:val="var(--word-link)"/>
          </w:rPr>
          <w:t xml:space="preserve">https://home-affairs.ec.europa.eu/news/new-migration-and-asylum-rules-enter-application-what-changing-2026-06-12_en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12.06.2026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European Union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Pact on Migration and Asylum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6"/>
      <w:footerReference w:type="default" r:id="rId17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11-07-2026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86761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1259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57DB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10B8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DEAE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EE62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european-union/eu-pact-migration-and-asylum-becomes-operational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home-affairs.ec.europa.eu/policies/migration-and-asylum/pact-migration-and-asylum_en" TargetMode="External"/><Relationship Id="rId10" Type="http://schemas.openxmlformats.org/officeDocument/2006/relationships/hyperlink" Target="https://home-affairs.ec.europa.eu/policies/migration-and-asylum/pact-migration-and-asylum/legislative-files-nutshell_en" TargetMode="External"/><Relationship Id="rId11" Type="http://schemas.openxmlformats.org/officeDocument/2006/relationships/hyperlink" Target="https://home-affairs.ec.europa.eu/policies/migration-and-asylum/asylum-eu_en#the-border-procedures" TargetMode="External"/><Relationship Id="rId12" Type="http://schemas.openxmlformats.org/officeDocument/2006/relationships/hyperlink" Target="https://home-affairs.ec.europa.eu/policies/migration-and-asylum/pact-migration-and-asylum/legislative-files-nutshell_en#reception-conditions-directive" TargetMode="External"/><Relationship Id="rId13" Type="http://schemas.openxmlformats.org/officeDocument/2006/relationships/hyperlink" Target="https://home-affairs.ec.europa.eu/policies/migration-and-asylum/migration-management/effective-system-solidarity-and-responsibility-managing-asylum-and-migration-eu_en" TargetMode="External"/><Relationship Id="rId14" Type="http://schemas.openxmlformats.org/officeDocument/2006/relationships/hyperlink" Target="https://home-affairs.ec.europa.eu/policies/migration-and-asylum/pact-migration-and-asylum/legislative-files-nutshell_en#crisis-and-force-majeure-regulation" TargetMode="External"/><Relationship Id="rId15" Type="http://schemas.openxmlformats.org/officeDocument/2006/relationships/hyperlink" Target="https://home-affairs.ec.europa.eu/news/new-migration-and-asylum-rules-enter-application-what-changing-2026-06-12_en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2026-07-11T16:30:18+00:00</dcterms:created>
  <dcterms:modified xsi:type="dcterms:W3CDTF">2026-07-11T16:30:18+00:00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