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Task force publishes interim report on inter-authority cooperation in asylum-related cases zzzzzz</w:t>
        </w:r>
      </w:hyperlink>
    </w:p>
    <w:p>
      <w:pPr/>
      <w:r>
        <w:rPr/>
        <w:t xml:space="preserve">An interim </w:t>
      </w:r>
      <w:hyperlink r:id="rId8" w:history="1">
        <w:r>
          <w:rPr>
            <w:color w:val="var(--word-link)"/>
          </w:rPr>
          <w:t xml:space="preserve">report</w:t>
        </w:r>
      </w:hyperlink>
      <w:r>
        <w:rPr/>
        <w:t xml:space="preserve"> published on 25 June 2026 highlights the positive outcomes of the first 6 months of the pilot “Repeat Offenders Task Force (LEI / Asylum Act).” The findings underline the coordination between criminal justice, police and migration authorities. Through a case management approach, the task force aligns asylum, criminal, detention and return procedures to improve the use of existing legal tools, particularly coercive measures.</w:t>
      </w:r>
      <w:br/>
      <w:br/>
      <w:r>
        <w:rPr/>
        <w:t xml:space="preserve">During the initial phase (June–November 2025), 87 cases were reviewed across ten pilot cantons, involving asylum-related individuals from countries with low protection rates. Concrete improvements have already been implemented, including better use of Schengen alerts, earlier coordination of Dublin cases and improved case identification systems.</w:t>
      </w:r>
      <w:br/>
      <w:br/>
      <w:r>
        <w:rPr/>
        <w:t xml:space="preserve">A final report is expected in autumn 2026 to identify best practices and assess the long-term integration of the task force.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Secretariat for Migration | Staatssekretariat für Migration | Secrétariat d’État aux migrations | Segreteria di Stato della migrazione (26 June, 2026), « Task force multirécidivistes LEI / LAsi » : le renforcement de la collaboration entre les autorités compétentes porte ses fruits ["Repeat Offenders Task Force LEI/LAsi": Strengthening cooperation between competent authorities pays off],</w:t>
      </w:r>
      <w:hyperlink r:id="rId9" w:history="1">
        <w:r>
          <w:rPr>
            <w:color w:val="var(--word-link)"/>
          </w:rPr>
          <w:t xml:space="preserve">https://www.admin.ch/fr/newnsb/T9UDZJ8iKh-a0fZ0qinOl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Detention,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9CCD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task-force-publishes-interim-report-inter-authority-cooperation-asylum" TargetMode="External"/><Relationship Id="rId8" Type="http://schemas.openxmlformats.org/officeDocument/2006/relationships/hyperlink" Target="https://cms.news.admin.ch/fileservice/sdweb-docs-prod-nsbcch-files/files/2026/06/25/99306d1b-ca2d-4016-9374-50767a33623d.pdf" TargetMode="External"/><Relationship Id="rId9" Type="http://schemas.openxmlformats.org/officeDocument/2006/relationships/hyperlink" Target="https://www.admin.ch/fr/newnsb/T9UDZJ8iKh-a0fZ0qinO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2026-07-06T17:16:36+00:00</dcterms:created>
  <dcterms:modified xsi:type="dcterms:W3CDTF">2026-07-06T17:16:36+00:00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