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Office for Foreigners and various CSO publish information on new rules related to access to healthcare for Ukrainian citizens zzzzzz</w:t>
        </w:r>
      </w:hyperlink>
    </w:p>
    <w:p>
      <w:pPr/>
      <w:r>
        <w:rPr/>
        <w:t xml:space="preserve">Following the gradual phasing out of the Act on Assistance to Ukrainian Citizens, from 1 June 2026 Ukrainian citizens residing in Poland with a PESEL number with UKR status will be entitled to publicly-funded healthcare services only if they:</w:t>
      </w:r>
    </w:p>
    <w:p>
      <w:pPr>
        <w:numPr>
          <w:ilvl w:val="0"/>
          <w:numId w:val="4"/>
        </w:numPr>
      </w:pPr>
      <w:r>
        <w:rPr/>
        <w:t xml:space="preserve">Have been victims of torture or rape;</w:t>
      </w:r>
    </w:p>
    <w:p>
      <w:pPr>
        <w:numPr>
          <w:ilvl w:val="0"/>
          <w:numId w:val="4"/>
        </w:numPr>
      </w:pPr>
      <w:r>
        <w:rPr/>
        <w:t xml:space="preserve">Are under 18 years of age;</w:t>
      </w:r>
    </w:p>
    <w:p>
      <w:pPr>
        <w:numPr>
          <w:ilvl w:val="0"/>
          <w:numId w:val="4"/>
        </w:numPr>
      </w:pPr>
      <w:r>
        <w:rPr/>
        <w:t xml:space="preserve">Hold a certificate confirming residence in a collective accommodation facility;</w:t>
      </w:r>
    </w:p>
    <w:p>
      <w:pPr>
        <w:numPr>
          <w:ilvl w:val="0"/>
          <w:numId w:val="4"/>
        </w:numPr>
      </w:pPr>
      <w:r>
        <w:rPr/>
        <w:t xml:space="preserve">Are pregnant, in labour or in the postpartum period;</w:t>
      </w:r>
    </w:p>
    <w:p>
      <w:pPr>
        <w:numPr>
          <w:ilvl w:val="0"/>
          <w:numId w:val="4"/>
        </w:numPr>
      </w:pPr>
      <w:r>
        <w:rPr/>
        <w:t xml:space="preserve">Are covered by compulsory or voluntary health insurance in Poland;</w:t>
      </w:r>
    </w:p>
    <w:p>
      <w:pPr>
        <w:numPr>
          <w:ilvl w:val="0"/>
          <w:numId w:val="4"/>
        </w:numPr>
      </w:pPr>
      <w:r>
        <w:rPr/>
        <w:t xml:space="preserve">Are covered by health insurance through their spouse, direct descendants living in the same household or parents (if they are minors, students under the age of 26 or dependent persons).</w:t>
      </w:r>
    </w:p>
    <w:p>
      <w:pPr/>
      <w:r>
        <w:rPr/>
        <w:t xml:space="preserve">Compulsory health insurance applies to Ukrainian citizens holding temporary protection status who:</w:t>
      </w:r>
    </w:p>
    <w:p>
      <w:pPr>
        <w:numPr>
          <w:ilvl w:val="0"/>
          <w:numId w:val="5"/>
        </w:numPr>
      </w:pPr>
      <w:r>
        <w:rPr/>
        <w:t xml:space="preserve">Are employed under an employment contract;</w:t>
      </w:r>
    </w:p>
    <w:p>
      <w:pPr>
        <w:numPr>
          <w:ilvl w:val="0"/>
          <w:numId w:val="5"/>
        </w:numPr>
      </w:pPr>
      <w:r>
        <w:rPr/>
        <w:t xml:space="preserve">Perform work under an agency contract, mandate contract, or another civil-law service contract;</w:t>
      </w:r>
    </w:p>
    <w:p>
      <w:pPr>
        <w:numPr>
          <w:ilvl w:val="0"/>
          <w:numId w:val="5"/>
        </w:numPr>
      </w:pPr>
      <w:r>
        <w:rPr/>
        <w:t xml:space="preserve">Are self-employed and conduct non-agricultural business activity;</w:t>
      </w:r>
    </w:p>
    <w:p>
      <w:pPr>
        <w:numPr>
          <w:ilvl w:val="0"/>
          <w:numId w:val="5"/>
        </w:numPr>
      </w:pPr>
      <w:r>
        <w:rPr/>
        <w:t xml:space="preserve">Receive a pension or disability benefit, including benefits paid from abroad (e.g. from Ukraine);</w:t>
      </w:r>
    </w:p>
    <w:p>
      <w:pPr>
        <w:numPr>
          <w:ilvl w:val="0"/>
          <w:numId w:val="5"/>
        </w:numPr>
      </w:pPr>
      <w:r>
        <w:rPr/>
        <w:t xml:space="preserve">Are registered as unemployed with a labour office, regardless of whether they receive unemployment benefits;</w:t>
      </w:r>
    </w:p>
    <w:p>
      <w:pPr>
        <w:numPr>
          <w:ilvl w:val="0"/>
          <w:numId w:val="5"/>
        </w:numPr>
      </w:pPr>
      <w:r>
        <w:rPr/>
        <w:t xml:space="preserve">Are students, provided that they cannot be covered by health insurance as family members and are not insured on another basis (for example, through employment).</w:t>
      </w:r>
    </w:p>
    <w:p>
      <w:pPr/>
      <w:r>
        <w:rPr>
          <w:b w:val="1"/>
          <w:bCs w:val="1"/>
        </w:rPr>
        <w:t xml:space="preserve">All other beneficiaries of temporary protection will remain entitled only to emergency healthcare and healthcare services available to uninsured persons in Poland</w:t>
      </w:r>
      <w:r>
        <w:rPr/>
        <w:t xml:space="preserve">.</w:t>
      </w:r>
    </w:p>
    <w:p>
      <w:pPr/>
      <w:r>
        <w:rPr/>
        <w:t xml:space="preserve">More information on healthcare entitlements, the scope of services and other matters related to UKR status and CUKR residence cards is available in Polish and Ukrainian at </w:t>
      </w:r>
      <w:hyperlink r:id="rId8" w:history="1">
        <w:r>
          <w:rPr>
            <w:color w:val="var(--word-link)"/>
          </w:rPr>
          <w:t xml:space="preserve">the following link</w:t>
        </w:r>
      </w:hyperlink>
      <w:r>
        <w:rPr/>
        <w:t xml:space="preserve">.</w:t>
      </w:r>
    </w:p>
    <w:p>
      <w:pPr/>
      <w:r>
        <w:rPr/>
        <w:t xml:space="preserve">Information on this issue is also available on the website of </w:t>
      </w:r>
      <w:r>
        <w:rPr>
          <w:i w:val="1"/>
          <w:iCs w:val="1"/>
        </w:rPr>
        <w:t xml:space="preserve">the</w:t>
      </w:r>
      <w:r>
        <w:rPr/>
        <w:t xml:space="preserve"> </w:t>
      </w:r>
      <w:hyperlink r:id="rId9" w:history="1">
        <w:r>
          <w:rPr>
            <w:color w:val="var(--word-link)"/>
          </w:rPr>
          <w:t xml:space="preserve">Fundacja Instytut na rzecz Państwa Prawa</w:t>
        </w:r>
      </w:hyperlink>
      <w:r>
        <w:rPr/>
        <w:t xml:space="preserve"> (Institute for the Rule of Law) and on the healthcare frequently asked questions website of the </w:t>
      </w:r>
      <w:hyperlink r:id="rId10" w:history="1">
        <w:r>
          <w:rPr>
            <w:color w:val="var(--word-link)"/>
          </w:rPr>
          <w:t xml:space="preserve">Stowarzyszenie Interwencji Prawnej</w:t>
        </w:r>
      </w:hyperlink>
      <w:r>
        <w:rPr/>
        <w:t xml:space="preserve"> (Association for Legal Intervention).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Office for Foreigners | Urząd do Spraw Cudzoziemców (17 June, 2026), Informacje dotyczące świadczeń zdrowotnych przysługujących obywatelom Ukrainy przebywającym w Polsce [Information on health benefits for Ukrainian citizens residing in Poland],</w:t>
      </w:r>
      <w:hyperlink r:id="rId8" w:history="1">
        <w:r>
          <w:rPr>
            <w:color w:val="var(--word-link)"/>
          </w:rPr>
          <w:t xml:space="preserve">https://www.gov.pl/web/udsc/informacje-dotyczace-swiadczen-zdrowotnych-przyslugujacych-obywatelom-ukrainy-przebywajacym-w-polsce</w:t>
        </w:r>
      </w:hyperlink>
    </w:p>
    <w:p>
      <w:pPr>
        <w:numPr>
          <w:ilvl w:val="0"/>
          <w:numId w:val="6"/>
        </w:numPr>
      </w:pPr>
      <w:r>
        <w:rPr/>
        <w:t xml:space="preserve">The Rule of Law Institute Foundation | Fundacja Instytut na rzecz Państwa Prawa (11 June, 2026), Świadczenia opieki zdrowotnej dla beneficjentów ochrony czasowej [Health care services for beneficiaries of temporary protection],</w:t>
      </w:r>
      <w:hyperlink r:id="rId9" w:history="1">
        <w:r>
          <w:rPr>
            <w:color w:val="var(--word-link)"/>
          </w:rPr>
          <w:t xml:space="preserve">https://panstwoprawa.org/wiedza/swiadczenia-opieki-zdrowotnej-dla-beneficjentow-ochrony-czasowej-pl-ua-en/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1" w:history="1">
        <w:r>
          <w:rPr>
            <w:color w:val="var(--word-link)"/>
          </w:rPr>
          <w:t xml:space="preserve">Act enters into force to phase out assistance for Ukrainian citizens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Material reception conditions, 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79EA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03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43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office-foreigners-and-various-cso-publish-information-new-rules-related-access" TargetMode="External"/><Relationship Id="rId8" Type="http://schemas.openxmlformats.org/officeDocument/2006/relationships/hyperlink" Target="https://www.gov.pl/web/udsc/informacje-dotyczace-swiadczen-zdrowotnych-przyslugujacych-obywatelom-ukrainy-przebywajacym-w-polsce" TargetMode="External"/><Relationship Id="rId9" Type="http://schemas.openxmlformats.org/officeDocument/2006/relationships/hyperlink" Target="https://panstwoprawa.org/wiedza/swiadczenia-opieki-zdrowotnej-dla-beneficjentow-ochrony-czasowej-pl-ua-en/" TargetMode="External"/><Relationship Id="rId10" Type="http://schemas.openxmlformats.org/officeDocument/2006/relationships/hyperlink" Target="https://ukraina.interwencjaprawna.pl/category/opieka-zdrowotna/" TargetMode="External"/><Relationship Id="rId11" Type="http://schemas.openxmlformats.org/officeDocument/2006/relationships/hyperlink" Target="/developments/poland/act-enters-force-phase-out-assistance-ukrainian-citizens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2026-07-06T17:16:30+00:00</dcterms:created>
  <dcterms:modified xsi:type="dcterms:W3CDTF">2026-07-06T17:16:30+00:00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