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European Parliament approves new rules for the return of irregular third-country nationals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European Parliament has approved new policy rules on the return of third-country nationals who are staying illegally in the EU. Under the legislation, individuals issued a return decision must cooperate with authorities and leave immediately or within a set timeframe. Authorities will be able to detain individuals up to 24 months, with possible extensions if they risk absconding, fail to cooperate or pose security concerns. </w:t>
      </w:r>
    </w:p>
    <w:p>
      <w:pPr/>
      <w:r>
        <w:rPr/>
        <w:t xml:space="preserve">Alternative measures, such as reporting obligations or electronic monitoring, may also be used. The rules also allow investigative actions (e.g. searches) under safeguards.</w:t>
      </w:r>
      <w:br/>
      <w:br/>
      <w:r>
        <w:rPr/>
        <w:t xml:space="preserve">The new rules include the possibility of transferring returnees (excluding unaccompanied minors) to return hubs in third countries, based on agreements that respect human rights and the principle of </w:t>
      </w:r>
      <w:r>
        <w:rPr>
          <w:i w:val="1"/>
          <w:iCs w:val="1"/>
        </w:rPr>
        <w:t xml:space="preserve">non-refoulement</w:t>
      </w:r>
      <w:r>
        <w:rPr/>
        <w:t xml:space="preserve">. Stricter provisions apply to those posing security risks.</w:t>
      </w:r>
      <w:br/>
      <w:br/>
      <w:r>
        <w:rPr/>
        <w:t xml:space="preserve">The legislation passed with 418 votes in favour, 218 against and 30 abstentions and now awaits formal adoption by the Council before entering into force.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European Parliament (17 June, 2026), [New EU system for return of illegally staying third country nationals],</w:t>
      </w:r>
      <w:hyperlink r:id="rId9" w:history="1">
        <w:r>
          <w:rPr>
            <w:color w:val="var(--word-link)"/>
          </w:rPr>
          <w:t xml:space="preserve">https://www.europarl.europa.eu/news/en/press-room/20260611IPR45214/new-eu-system-for-return-of-illegally-staying-third-country-nationals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17.06.2026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European Union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Return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17A99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european-union/european-parliament-approves-new-rules-return-irregular-third-country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europarl.europa.eu/news/en/press-room/20260611IPR45214/new-eu-system-for-return-of-illegally-staying-third-country-nationals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2026-07-06T17:17:15+00:00</dcterms:created>
  <dcterms:modified xsi:type="dcterms:W3CDTF">2026-07-06T17:17:15+00:00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