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specifies which parts of the Pact will have a particular impact in case processing zzzzzz</w:t>
        </w:r>
      </w:hyperlink>
    </w:p>
    <w:p>
      <w:pPr/>
      <w:hyperlink r:id="rId8" w:history="1">
        <w:r>
          <w:rPr>
            <w:color w:val="var(--word-link)"/>
          </w:rPr>
          <w:t xml:space="preserve"> Go back to timeline</w:t>
        </w:r>
      </w:hyperlink>
    </w:p>
    <w:p>
      <w:pPr/>
      <w:r>
        <w:rPr/>
        <w:t xml:space="preserve">The Immigration Appeals Board (UNE) specified that two parts of the Pact, in particular, will have an impact on case processing:</w:t>
      </w:r>
    </w:p>
    <w:p>
      <w:pPr>
        <w:numPr>
          <w:ilvl w:val="0"/>
          <w:numId w:val="4"/>
        </w:numPr>
      </w:pPr>
      <w:r>
        <w:rPr/>
        <w:t xml:space="preserve">Eurodac Regulation</w:t>
      </w:r>
    </w:p>
    <w:p>
      <w:pPr>
        <w:numPr>
          <w:ilvl w:val="0"/>
          <w:numId w:val="4"/>
        </w:numPr>
      </w:pPr>
      <w:r>
        <w:rPr/>
        <w:t xml:space="preserve">The Asylum and Migration Management Regulation (AMMR), which replaces the current Dublin regulations. Norway is bound by the parts of the AMMR that deal with determining which country is responsible for processing an asylum application, but it is not bound by the solidarity mechanism.</w:t>
      </w:r>
    </w:p>
    <w:p>
      <w:pPr/>
      <w:r>
        <w:rPr/>
        <w:t xml:space="preserve">Prior to the entry into force of the Pact, UNE reduced the number of Dublin cases. This means that Norway now only has a few Dublin cases being processed according to the old regulations. Normally, UNE processes around 500 Dublin cases a year.</w:t>
      </w:r>
    </w:p>
    <w:p>
      <w:pPr/>
      <w:r>
        <w:rPr>
          <w:b w:val="1"/>
          <w:bCs w:val="1"/>
        </w:rPr>
        <w:t xml:space="preserve">Source(s)</w:t>
      </w:r>
    </w:p>
    <w:p>
      <w:pPr>
        <w:numPr>
          <w:ilvl w:val="0"/>
          <w:numId w:val="5"/>
        </w:numPr>
      </w:pPr>
      <w:r>
        <w:rPr/>
        <w:t xml:space="preserve">Immigration Appeals Board | Utlendingsnemnda (12 June, 2026), Hva er EUs pakt for migrasjon og asyl? [What is the EU Pact on Migration and Asylum?],</w:t>
      </w:r>
      <w:hyperlink r:id="rId9" w:history="1">
        <w:r>
          <w:rPr>
            <w:color w:val="var(--word-link)"/>
          </w:rPr>
          <w:t xml:space="preserve">https://www.une.no/aktuelt/arkiv/2026/hva-er-eus-pakt-for-migrasjon-og-asyl/</w:t>
        </w:r>
      </w:hyperlink>
    </w:p>
    <w:p>
      <w:pPr/>
      <w:r>
        <w:rPr>
          <w:b w:val="1"/>
          <w:bCs w:val="1"/>
        </w:rPr>
        <w:t xml:space="preserve">Date of development</w:t>
      </w:r>
    </w:p>
    <w:p>
      <w:pPr/>
      <w:r>
        <w:rPr/>
        <w:t xml:space="preserve">12.06.2026</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 Asylum Migration Management Regulation, Eurodac Regulation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9C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0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specifies-which-parts-pact-will-have-particular-impact-case-processing" TargetMode="External"/><Relationship Id="rId8" Type="http://schemas.openxmlformats.org/officeDocument/2006/relationships/hyperlink" Target="/developments" TargetMode="External"/><Relationship Id="rId9" Type="http://schemas.openxmlformats.org/officeDocument/2006/relationships/hyperlink" Target="https://www.une.no/aktuelt/arkiv/2026/hva-er-eus-pakt-for-migrasjon-og-asy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2026-07-06T17:17:13+00:00</dcterms:created>
  <dcterms:modified xsi:type="dcterms:W3CDTF">2026-07-06T17:17:13+00:00</dcterms:modified>
</cp:coreProperties>
</file>

<file path=docProps/custom.xml><?xml version="1.0" encoding="utf-8"?>
<Properties xmlns="http://schemas.openxmlformats.org/officeDocument/2006/custom-properties" xmlns:vt="http://schemas.openxmlformats.org/officeDocument/2006/docPropsVTypes"/>
</file>