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launches the pilot project Ariane zzzzzz</w:t>
        </w:r>
      </w:hyperlink>
    </w:p>
    <w:p>
      <w:pPr/>
      <w:r>
        <w:rPr/>
        <w:t xml:space="preserve">The pilot follows the entry into application of the Pact and aims to establish a separate reception path for applicants from low recognition rate countries. The pilot puts more emphasis on legal assistance for these applicants, as well as on voluntary return counselling. </w:t>
      </w:r>
    </w:p>
    <w:p>
      <w:pPr/>
      <w:br/>
      <w:r>
        <w:rPr/>
        <w:t xml:space="preserve">It will be implemented in the reception centre called “Ariane” in Brussels, which is managed by the Red Cross.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agency for the reception of asylum seekers | L’Agence fédérale pour l’accueil des demandeurs d’asile | Federaal agentschap voor de opvang van asielzoekers (12 June, 2026), Entrée en vigueur du Pacte migratoire européen [Entry into force of the European Migration Pact],</w:t>
      </w:r>
      <w:hyperlink r:id="rId8" w:history="1">
        <w:r>
          <w:rPr>
            <w:color w:val="var(--word-link)"/>
          </w:rPr>
          <w:t xml:space="preserve">https://www.fedasil.be/fr/actualites/accueil-des-demandeurs-dasile/entree-en-vigueur-du-pacte-migratoire-europeen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conditions, Rights, obligations and limitations, Pact on Migration and Asylum, Asylum Migration Management Regulation, Asylum Procedure Regulation, Reception Conditions Directive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4D64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launches-pilot-project-ariane" TargetMode="External"/><Relationship Id="rId8" Type="http://schemas.openxmlformats.org/officeDocument/2006/relationships/hyperlink" Target="https://www.fedasil.be/fr/actualites/accueil-des-demandeurs-dasile/entree-en-vigueur-du-pacte-migratoire-europee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2026-07-06T16:16:07+00:00</dcterms:created>
  <dcterms:modified xsi:type="dcterms:W3CDTF">2026-07-06T16:16:07+00:00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