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asylum law passes first reading</w:t>
        </w:r>
      </w:hyperlink>
    </w:p>
    <w:p>
      <w:pPr/>
      <w:r>
        <w:rPr/>
        <w:t xml:space="preserve">On 9 June 2026, the Chamber of Deputies adopted the draft asylum law at first constitutional vote, with 42 votes in favour, 17 against and 1 non-voter. All 18 proposed amendments were rejected.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Chamber of Deputies | Chambre des Députés (9 June, 2026), Project de loi 8684 [Bill 8684],</w:t>
      </w:r>
      <w:hyperlink r:id="rId8" w:history="1">
        <w:r>
          <w:rPr>
            <w:color w:val="0444c4"/>
            <w:u w:val="single"/>
          </w:rPr>
          <w:t xml:space="preserve">https://www.chd.lu/fr/dossier/8684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Luxembourg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0563F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uxembourg/new-asylum-law-passes-first-reading" TargetMode="External"/><Relationship Id="rId8" Type="http://schemas.openxmlformats.org/officeDocument/2006/relationships/hyperlink" Target="https://www.chd.lu/fr/dossier/8684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2026-08-28T11:47:26+00:00</dcterms:created>
  <dcterms:modified xsi:type="dcterms:W3CDTF">2026-08-28T11:47:26+00:00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