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approves amendments to the law to implement the EU Pact on Migration and Asylum zzzzzz</w:t>
        </w:r>
      </w:hyperlink>
    </w:p>
    <w:p>
      <w:pPr/>
      <w:r>
        <w:rPr/>
        <w:t xml:space="preserve">The Lithuanian Government has approved a package of legislative amendments aimed at implementing the European Union Pact on Migration and Asylum, with the objective of strengthening migration management, asylum procedures, border controls, and solidarity mechanisms within the EU framework.</w:t>
      </w:r>
    </w:p>
    <w:p>
      <w:pPr/>
      <w:r>
        <w:rPr/>
        <w:t xml:space="preserve">The amendments, proposed by the Ministry of the Interior, seek to enhance preparedness for potential increases in migration flows, support EU Member States facing migration pressures, accelerate asylum and return procedures, and ensure appropriate reception conditions for applicants for international protection.</w:t>
      </w:r>
    </w:p>
    <w:p>
      <w:pPr/>
      <w:r>
        <w:rPr/>
        <w:t xml:space="preserve">Under the proposed framework, all third-country nationals who do not meet the conditions for entry into the European Union will undergo screening procedures, including identity verification, health assessments, registration, and security checks. Applicants for international protection originating from countries considered safe, as well as those deemed to have provided misleading information or to pose a security risk, will be subject to mandatory border procedures. Individuals found not to qualify for international protection will be returned through accelerated procedures, while a monitoring mechanism will oversee the implementation of border processes.</w:t>
      </w:r>
    </w:p>
    <w:p>
      <w:pPr/>
      <w:r>
        <w:rPr/>
        <w:t xml:space="preserve">The legislative package also establishes the national framework for participation in the EU solidarity mechanism. Decisions regarding the number and categories of individuals to be relocated to Lithuania will be taken by the Government, while individual relocation decisions will be made by the Migration Department.</w:t>
      </w:r>
    </w:p>
    <w:p>
      <w:pPr/>
      <w:r>
        <w:rPr/>
        <w:t xml:space="preserve">In situations of migration crisis, the amendments provide for greater procedural flexibility, including extended deadlines, adjustments to border procedures, and exemptions from certain obligations relating to the transfer of asylum applicants between EU Member States.</w:t>
      </w:r>
    </w:p>
    <w:p>
      <w:pPr/>
      <w:r>
        <w:rPr/>
        <w:t xml:space="preserve">The reform package includes 15 accompanying legislative amendments addressing the rights of beneficiaries of international protection and their family members, particularly in the areas of social security, healthcare, and recognition of qualifications. Additional provisions expand access to healthcare services for minor applicants for international protection.</w:t>
      </w:r>
    </w:p>
    <w:p>
      <w:pPr/>
      <w:r>
        <w:rPr/>
        <w:t xml:space="preserve">Lithuania has also confirmed its contribution to the EU solidarity mechanism through a mixed model, combining both relocations and financial contributions. Under the approach adopted in December 2025, half of Lithuania’s solidarity commitment will be met through the relocation of eligible individuals, while the remaining 50 per cent will be fulfilled through financial support.</w:t>
      </w:r>
    </w:p>
    <w:p>
      <w:pPr/>
      <w:r>
        <w:rPr/>
        <w:t xml:space="preserve">To support implementation of the Pact, Lithuania has allocated €70 million from EU funding programmes for the period 2025–2027 to strengthen migration and asylum management capacities.</w:t>
      </w:r>
    </w:p>
    <w:p>
      <w:pPr/>
      <w:r>
        <w:rPr>
          <w:b w:val="1"/>
          <w:bCs w:val="1"/>
        </w:rPr>
        <w:t xml:space="preserve">Source(s)</w:t>
      </w:r>
    </w:p>
    <w:p>
      <w:pPr>
        <w:numPr>
          <w:ilvl w:val="0"/>
          <w:numId w:val="4"/>
        </w:numPr>
      </w:pPr>
      <w:r>
        <w:rPr/>
        <w:t xml:space="preserve">Ministry of Interior | Lietuvos Respublikos vidaus reikalų ministerija (11 June, 2026), Vyriausybė pritarė įstatymų pakeitimams ES Migracijos ir prieglobsčio paktui įgyvendinti [The government approved amendments to the laws to implement the EU Pact on Migration and Asylum],</w:t>
      </w:r>
      <w:hyperlink r:id="rId8" w:history="1">
        <w:r>
          <w:rPr>
            <w:color w:val="var(--word-link)"/>
          </w:rPr>
          <w:t xml:space="preserve">https://vrm.lrv.lt/lt/naujienos/vyriausybe-pritare-istatymu-pakeitimams-es-migracijos-ir-prieglobscio-paktui-igyvendinti-iQbV/</w:t>
        </w:r>
      </w:hyperlink>
    </w:p>
    <w:p>
      <w:pPr/>
      <w:r>
        <w:rPr>
          <w:b w:val="1"/>
          <w:bCs w:val="1"/>
        </w:rPr>
        <w:t xml:space="preserve">Date of development</w:t>
      </w:r>
    </w:p>
    <w:p>
      <w:pPr/>
      <w:r>
        <w:rPr/>
        <w:t xml:space="preserve">11.06.2026</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 Access to procedures and non-refoulement, Border procedure, Accelerated procedure, Other special procedures, Safe country concept, Relocation, Crisis and emergency measures, Pact on Migration and Asylum,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16A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government-approves-amendments-law-implement-eu-pact-migration-and-asylum" TargetMode="External"/><Relationship Id="rId8" Type="http://schemas.openxmlformats.org/officeDocument/2006/relationships/hyperlink" Target="https://vrm.lrv.lt/lt/naujienos/vyriausybe-pritare-istatymu-pakeitimams-es-migracijos-ir-prieglobscio-paktui-igyvendinti-iQbV/"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2026-07-11T17:34:25+00:00</dcterms:created>
  <dcterms:modified xsi:type="dcterms:W3CDTF">2026-07-11T17:34:25+00:00</dcterms:modified>
</cp:coreProperties>
</file>

<file path=docProps/custom.xml><?xml version="1.0" encoding="utf-8"?>
<Properties xmlns="http://schemas.openxmlformats.org/officeDocument/2006/custom-properties" xmlns:vt="http://schemas.openxmlformats.org/officeDocument/2006/docPropsVTypes"/>
</file>