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Greece adopts Code of Conduct for professionals working with unaccompanied minors zzzzzz</w:t>
        </w:r>
      </w:hyperlink>
    </w:p>
    <w:p>
      <w:pPr/>
      <w:r>
        <w:rPr/>
        <w:t xml:space="preserve">In February 2026, the General Secretariat for Vulnerable Persons and Institutional Protection of the Ministry of Migration and Asylum, issued a published a Code of Conduct for professionals working with unaccompanied minors, accompanied by a circular on its implementation. These resources were shared with stakeholders relevant to child protection. </w:t>
      </w:r>
    </w:p>
    <w:p>
      <w:pPr/>
      <w:r>
        <w:rPr/>
        <w:t xml:space="preserve">According to the circular, the Code of Conduct aims to establish a single framework of principles and rules that guide the responsible and ethical professional conduct of those working with unaccompanied minors. The Code focuses on the protection and well-being of minors, respect for human dignity and adherence to the principle of the best interests of the child.</w:t>
      </w:r>
    </w:p>
    <w:p>
      <w:pPr/>
      <w:r>
        <w:rPr/>
        <w:t xml:space="preserve">More information is </w:t>
      </w:r>
      <w:hyperlink r:id="rId8" w:history="1">
        <w:r>
          <w:rPr>
            <w:color w:val="var(--word-link)"/>
          </w:rPr>
          <w:t xml:space="preserve">available 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Migration and Asylum | Υπουργείο Μετανάστευσης και Ασύλου (16 February, 2026), Εγκύκλιος για την τήρηση Κώδικα Δεοντολογίας για τους επαγγελματίες που εργάζονται με ασυνόδευτους ανήλικους [Circular on the implementation of the Code of Conduct for professionals working with unaccompanied minors],</w:t>
      </w:r>
      <w:hyperlink r:id="rId8" w:history="1">
        <w:r>
          <w:rPr>
            <w:color w:val="var(--word-link)"/>
          </w:rPr>
          <w:t xml:space="preserve">https://diavgeia.gov.gr/doc/%CE%A1%CE%92%CE%A4%CE%A646%CE%9C%CE%94%CE%A8%CE%9F-%CE%A30%CE%A5?inline=true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16.02.2026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383C9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greece-adopts-code-conduct-professionals-working-unaccompanied-minors" TargetMode="External"/><Relationship Id="rId8" Type="http://schemas.openxmlformats.org/officeDocument/2006/relationships/hyperlink" Target="https://diavgeia.gov.gr/doc/%CE%A1%CE%92%CE%A4%CE%A646%CE%9C%CE%94%CE%A8%CE%9F-%CE%A30%CE%A5?inline=tru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2026-06-17T13:49:25+00:00</dcterms:created>
  <dcterms:modified xsi:type="dcterms:W3CDTF">2026-06-17T13:49:25+00:00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