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Joint Ministerial Decision published on national list of safe countries of origin zzzzzz</w:t>
        </w:r>
      </w:hyperlink>
    </w:p>
    <w:p>
      <w:pPr/>
      <w:r>
        <w:rPr>
          <w:lang w:val="EN-GB"/>
        </w:rPr>
        <w:t xml:space="preserve">On 20 January 2026, a new</w:t>
      </w:r>
      <w:hyperlink r:id="rId8" w:history="1">
        <w:r>
          <w:rPr>
            <w:color w:val="var(--word-link)"/>
          </w:rPr>
          <w:t xml:space="preserve">Joint Ministerial Decision of the Ministers of Foreign Affairs and of Migration and Asylum No. 9603</w:t>
        </w:r>
      </w:hyperlink>
      <w:r>
        <w:rPr>
          <w:lang w:val="EN-GB"/>
        </w:rPr>
        <w:t xml:space="preserve">(OGG B’ 188/20.01.2026) on the list of safe countries of origin was issued in Greece. The list includes the following countries: </w:t>
      </w:r>
    </w:p>
    <w:p>
      <w:pPr>
        <w:numPr>
          <w:ilvl w:val="0"/>
          <w:numId w:val="4"/>
        </w:numPr>
      </w:pPr>
      <w:r>
        <w:rPr>
          <w:lang w:val="it-IT"/>
        </w:rPr>
        <w:t xml:space="preserve">Albania</w:t>
      </w:r>
    </w:p>
    <w:p>
      <w:pPr>
        <w:numPr>
          <w:ilvl w:val="0"/>
          <w:numId w:val="4"/>
        </w:numPr>
      </w:pPr>
      <w:r>
        <w:rPr>
          <w:lang w:val="it-IT"/>
        </w:rPr>
        <w:t xml:space="preserve">Algeria</w:t>
      </w:r>
    </w:p>
    <w:p>
      <w:pPr>
        <w:numPr>
          <w:ilvl w:val="0"/>
          <w:numId w:val="4"/>
        </w:numPr>
      </w:pPr>
      <w:r>
        <w:rPr>
          <w:lang w:val="it-IT"/>
        </w:rPr>
        <w:t xml:space="preserve">Angola</w:t>
      </w:r>
    </w:p>
    <w:p>
      <w:pPr>
        <w:numPr>
          <w:ilvl w:val="0"/>
          <w:numId w:val="4"/>
        </w:numPr>
      </w:pPr>
      <w:r>
        <w:rPr>
          <w:lang w:val="it-IT"/>
        </w:rPr>
        <w:t xml:space="preserve">Armenia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Bangladesh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Benin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Egypt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Gambia</w:t>
      </w:r>
    </w:p>
    <w:p>
      <w:pPr>
        <w:numPr>
          <w:ilvl w:val="0"/>
          <w:numId w:val="4"/>
        </w:numPr>
      </w:pPr>
      <w:r>
        <w:rPr>
          <w:lang w:val="it-IT"/>
        </w:rPr>
        <w:t xml:space="preserve">Georgia</w:t>
      </w:r>
    </w:p>
    <w:p>
      <w:pPr>
        <w:numPr>
          <w:ilvl w:val="0"/>
          <w:numId w:val="4"/>
        </w:numPr>
      </w:pPr>
      <w:r>
        <w:rPr>
          <w:lang w:val="it-IT"/>
        </w:rPr>
        <w:t xml:space="preserve">Ghana</w:t>
      </w:r>
    </w:p>
    <w:p>
      <w:pPr>
        <w:numPr>
          <w:ilvl w:val="0"/>
          <w:numId w:val="4"/>
        </w:numPr>
      </w:pPr>
      <w:r>
        <w:rPr>
          <w:lang w:val="it-IT"/>
        </w:rPr>
        <w:t xml:space="preserve">India</w:t>
      </w:r>
    </w:p>
    <w:p>
      <w:pPr>
        <w:numPr>
          <w:ilvl w:val="0"/>
          <w:numId w:val="4"/>
        </w:numPr>
      </w:pPr>
      <w:r>
        <w:rPr>
          <w:lang w:val="it-IT"/>
        </w:rPr>
        <w:t xml:space="preserve">Moldova</w:t>
      </w:r>
    </w:p>
    <w:p>
      <w:pPr>
        <w:numPr>
          <w:ilvl w:val="0"/>
          <w:numId w:val="4"/>
        </w:numPr>
      </w:pPr>
      <w:r>
        <w:rPr>
          <w:lang w:val="it-IT"/>
        </w:rPr>
        <w:t xml:space="preserve">Morocco</w:t>
      </w:r>
    </w:p>
    <w:p>
      <w:pPr>
        <w:numPr>
          <w:ilvl w:val="0"/>
          <w:numId w:val="4"/>
        </w:numPr>
      </w:pPr>
      <w:r>
        <w:rPr>
          <w:lang w:val="it-IT"/>
        </w:rPr>
        <w:t xml:space="preserve">Nepal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Pakistan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Senegal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Togo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Tunisia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Migration and Asylum | Υπουργείο Μετανάστευσης και Ασύλου (20 January, 2026), Εφημερίδα της Κυβερνήσεως, Αριθμός Φύλλου, 188, Τεύχος Δεύτερο, 20 Ιανουαρίου 2026 [Government Gazette, OGG B’ 188, 20 January 2026],</w:t>
      </w:r>
      <w:hyperlink r:id="rId9" w:history="1">
        <w:r>
          <w:rPr>
            <w:color w:val="var(--word-link)"/>
          </w:rPr>
          <w:t xml:space="preserve">https://migration.gov.gr/wp-content/uploads/2026/01/ΚΥΑ_ΑΣΦΑΛΕΙΣ-ΧΩΡΕΣ-ΚΑΤΑΓΩΓΗΣ.pdf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Safe country concept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10F3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81C5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joint-ministerial-decision-published-national-list-safe-countries-origin" TargetMode="External"/><Relationship Id="rId8" Type="http://schemas.openxmlformats.org/officeDocument/2006/relationships/hyperlink" Target="https://eur03.safelinks.protection.outlook.com/?url=https%3A%2F%2Fsearch.et.gr%2Fel%2Ffek%2F%3FfekId%3D792874&amp;data=05%7C02%7Cpietro.orfei%40euaa.europa.eu%7C19a0637282224a35a02308decacac0b4%7Cd19e4243f4804af5889971f10798d806%7C0%7C0%7C639171169310786426%7CUnknown%7CTWFpbGZsb3d8eyJFbXB0eU1hcGkiOnRydWUsIlYiOiIwLjAuMDAwMCIsIlAiOiJXaW4zMiIsIkFOIjoiTWFpbCIsIldUIjoyfQ%3D%3D%7C0%7C%7C%7C&amp;sdata=ruQkzbUgBz1vrtP%2FBmwJ3jZuCY%2BsPYvtClsROFi6xbo%3D&amp;reserved=0" TargetMode="External"/><Relationship Id="rId9" Type="http://schemas.openxmlformats.org/officeDocument/2006/relationships/hyperlink" Target="https://migration.gov.gr/wp-content/uploads/2026/01/%CE%9A%CE%A5%CE%91_%CE%91%CE%A3%CE%A6%CE%91%CE%9B%CE%95%CE%99%CE%A3-%CE%A7%CE%A9%CE%A1%CE%95%CE%A3-%CE%9A%CE%91%CE%A4%CE%91%CE%93%CE%A9%CE%93%CE%97%CE%A3.pdf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2026-06-17T22:07:38+00:00</dcterms:created>
  <dcterms:modified xsi:type="dcterms:W3CDTF">2026-06-17T22:07:38+00:00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