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Swedish Migration Agency approves new rules for repatriation grants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Swedish Migration Agency approved the first grants for repatriation under the new rules effected since 1 January 2026, by which the amounts for repatriation were increased. 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Swedish Migration Agency | Migrationsverket (16 March, 2026), De första återvandringsbidragen enligt nya regler är beviljade [The first repatriation grants under new rules have been granted],</w:t>
      </w:r>
      <w:hyperlink r:id="rId9" w:history="1">
        <w:r>
          <w:rPr>
            <w:color w:val="0444c4"/>
            <w:u w:val="single"/>
          </w:rPr>
          <w:t xml:space="preserve">https://www.migrationsverket.se/nyhetsarkiv/nyhetsarkiv/2026-03-16-de-forsta-atervandringsbidragen-enligt-nya-regler-ar-beviljade.html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Sweden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53D01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eden/swedish-migration-agency-approves-new-rules-repatriation-grant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migrationsverket.se/nyhetsarkiv/nyhetsarkiv/2026-03-16-de-forsta-atervandringsbidragen-enligt-nya-regler-ar-beviljade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2026-09-14T21:34:58+00:00</dcterms:created>
  <dcterms:modified xsi:type="dcterms:W3CDTF">2026-09-14T21:34:58+00:00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