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publishes its biannual factsheet for Poland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March 2026, UNHCR published </w:t>
      </w:r>
      <w:hyperlink r:id="rId9" w:history="1">
        <w:r>
          <w:rPr>
            <w:color w:val="0444c4"/>
            <w:u w:val="single"/>
          </w:rPr>
          <w:t xml:space="preserve">its biannual factsheet on Poland</w:t>
        </w:r>
      </w:hyperlink>
      <w:r>
        <w:rPr/>
        <w:t xml:space="preserve">, providing brief statistical information, key highlights and priorities, and an overview of UNHCR’s presence in the country.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(1 March, 2026), [Bi-annual fact sheet 2026 02 Poland],</w:t>
      </w:r>
      <w:hyperlink r:id="rId9" w:history="1">
        <w:r>
          <w:rPr>
            <w:color w:val="0444c4"/>
            <w:u w:val="single"/>
          </w:rPr>
          <w:t xml:space="preserve">https://www.unhcr.org/europe/media/bi-annual-fact-sheet-2026-02-poland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5CE1F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unhcr-publishes-its-biannual-factsheet-pol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hcr.org/europe/media/bi-annual-fact-sheet-2026-02-polan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2026-10-30T01:50:16+00:00</dcterms:created>
  <dcterms:modified xsi:type="dcterms:W3CDTF">2026-10-30T01:50:16+00:00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