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First instance determination - Slovakia</w:t>
      </w:r>
    </w:p>
    <w:p>
      <w:pPr>
        <w:pStyle w:val="Heading2"/>
      </w:pPr>
      <w:r>
        <w:rPr/>
        <w:t xml:space="preserve">Overview of first instance procedures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 and other stakeholders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Types of procedures and case processing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Time limit for a decision and length of the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Quality assurance of first instance procedures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Interinstitutional cooperation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Regular asylum procedure at first instance</w:t>
      </w:r>
    </w:p>
    <w:p>
      <w:pPr>
        <w:pStyle w:val="Heading2"/>
      </w:pPr>
      <w:r>
        <w:rPr/>
        <w:t xml:space="preserve">Legal basis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 to withdraw an application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Assessment of an application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Scope and outcomes of a decision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Withdrawal of an application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Implicit withdrawal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Explicit withdrawal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Personal interview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authority: Interviewers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Special procedural guarantees during the interview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Possibility to omit the personal interview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Organisational aspects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Other aspects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Special asylum procedures at first instance</w:t>
      </w:r>
    </w:p>
    <w:p>
      <w:pPr>
        <w:pStyle w:val="Heading2"/>
      </w:pPr>
      <w:r>
        <w:rPr/>
        <w:t xml:space="preserve">Admissibility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Accelerated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Border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Subsequent application procedure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Last-minute application pending removal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Safe country concept 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Safe country of origin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Safe third country 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First country of asylum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European safe third country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Assessment of an application at first instance</w:t>
      </w:r>
    </w:p>
    <w:p>
      <w:pPr>
        <w:pStyle w:val="Heading2"/>
      </w:pPr>
      <w:r>
        <w:rPr/>
        <w:t xml:space="preserve">Legal provisions relevant for an assessment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Competent authority for the assessment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Grounds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Guidelines for case officers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Credibility assessment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Assessment of facts and circumstances when aspects of the applicant’s statements are not supported by documentary or other evidence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Time limit for submitting evidence during credibility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COI research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Decision and outcomes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COI units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Background information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Structure and capacity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COI products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p>
      <w:pPr>
        <w:pStyle w:val="Heading2"/>
      </w:pPr>
      <w:r>
        <w:rPr/>
        <w:t xml:space="preserve">Other aspects of COI units</w:t>
      </w:r>
    </w:p>
    <w:p>
      <w:pPr/>
      <w:r>
        <w:rPr/>
        <w:t xml:space="preserve">Following the entry into force of the reformed EU asylum acquis, a new law on international protection will take effect in June 2026.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First instance determination - Slovakia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2026-07-12T13:57:30+00:00</dcterms:created>
  <dcterms:modified xsi:type="dcterms:W3CDTF">2026-07-12T13:57:30+00:00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