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Legal assistance and representation - Slovakia</w:t>
      </w:r>
    </w:p>
    <w:p>
      <w:pPr>
        <w:pStyle w:val="Heading2"/>
      </w:pPr>
      <w:r>
        <w:rPr/>
        <w:t xml:space="preserve">Overview</w:t>
      </w:r>
    </w:p>
    <w:p>
      <w:pPr/>
      <w:r>
        <w:rPr/>
        <w:t xml:space="preserve">Content updated on: 23/05/2025 </w:t>
      </w:r>
    </w:p>
    <w:p>
      <w:pPr>
        <w:pStyle w:val="Heading2"/>
      </w:pPr>
      <w:r>
        <w:rPr/>
        <w:t xml:space="preserve">Relevant EU legislation</w:t>
      </w:r>
    </w:p>
    <w:p>
      <w:pPr/>
      <w:r>
        <w:rPr>
          <w:rFonts w:ascii="&quot;Open Sans&quot;" w:hAnsi="&quot;Open Sans&quot;" w:eastAsia="&quot;Open Sans&quot;" w:cs="&quot;Open Sans&quot;"/>
          <w:color w:val="212133"/>
          <w:sz w:val="24"/>
          <w:szCs w:val="24"/>
          <w:b w:val="0"/>
          <w:bCs w:val="0"/>
          <w:i w:val="0"/>
          <w:iCs w:val="0"/>
          <w:spacing w:val="0"/>
          <w:shd w:val="clear" w:fill="FFFFFF"/>
        </w:rPr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National legislation</w:t>
      </w:r>
    </w:p>
    <w:p>
      <w:pPr/>
      <w:r>
        <w:rPr>
          <w:rFonts w:ascii="&quot;Open Sans&quot;" w:hAnsi="&quot;Open Sans&quot;" w:eastAsia="&quot;Open Sans&quot;" w:cs="&quot;Open Sans&quot;"/>
          <w:color w:val="212133"/>
          <w:sz w:val="24"/>
          <w:szCs w:val="24"/>
          <w:b w:val="0"/>
          <w:bCs w:val="0"/>
          <w:i w:val="0"/>
          <w:iCs w:val="0"/>
          <w:spacing w:val="0"/>
          <w:shd w:val="clear" w:fill="FFFFFF"/>
        </w:rPr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Competent authority and stakeholders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2994" w:type="dxa"/>
            <w:noWrap/>
          </w:tcPr>
          <w:p>
            <w:pPr/>
            <w:r>
              <w:rPr/>
              <w:t xml:space="preserve">Area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National authority/stakeholder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Provision of legal and procedural information on the applicant’s rights and obligations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Following the entry into force of the reformed EU asylum acquis, a new law on international protection will take effect in June 2026.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assistance at first instance determination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Following the entry into force of the reformed EU asylum acquis, a new law on international protection will take effect in June 2026.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counselling provided by civil society organisations or other organisations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Following the entry into force of the reformed EU asylum acquis, a new law on international protection will take effect in June 2026.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assistance at second instance determination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Following the entry into force of the reformed EU asylum acquis, a new law on international protection will take effect in June 2026.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assistance for other related procedures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Following the entry into force of the reformed EU asylum acquis, a new law on international protection will take effect in June 2026.</w:t>
            </w:r>
          </w:p>
        </w:tc>
      </w:tr>
    </w:tbl>
    <w:p>
      <w:pPr>
        <w:pStyle w:val="Heading2"/>
      </w:pPr>
      <w:r>
        <w:rPr/>
        <w:t xml:space="preserve">Access to legal assistance and representation</w:t>
      </w:r>
    </w:p>
    <w:p>
      <w:pPr>
        <w:pStyle w:val="Heading2"/>
      </w:pPr>
      <w:r>
        <w:rPr/>
        <w:t xml:space="preserve">Provision of information on legal assistance and representation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Access to premises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Requirements: Means test and merits test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Modalities to submit a request for legal aid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Outcome of the request for legal aid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Legal assistance and representation at first instance determination</w:t>
      </w:r>
    </w:p>
    <w:p>
      <w:pPr>
        <w:pStyle w:val="Heading2"/>
      </w:pPr>
      <w:r>
        <w:rPr/>
        <w:t xml:space="preserve">Service provider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Scope of legal assistance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Procedural aspects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Representation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Aspects related to special procedures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Aspects related to applicants with special needs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Legal assistance and representation in appeals</w:t>
      </w:r>
    </w:p>
    <w:p>
      <w:pPr>
        <w:pStyle w:val="Heading2"/>
      </w:pPr>
      <w:r>
        <w:rPr/>
        <w:t xml:space="preserve">Service provider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Scope of legal assistance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Procedural aspects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Type of appeal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Representation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Aspects related to applicants with special needs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Right to counselling in the Dublin procedure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Access to legal aid while in detention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Quality assurance</w:t>
      </w:r>
    </w:p>
    <w:p>
      <w:pPr>
        <w:pStyle w:val="Heading2"/>
      </w:pPr>
      <w:r>
        <w:rPr/>
        <w:t xml:space="preserve">Selection, qualifications and training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Mechanisms for quality assurance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Inter-institutional cooperation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Legal assistance and representation for related procedures</w:t>
      </w:r>
    </w:p>
    <w:p>
      <w:pPr>
        <w:pStyle w:val="Heading2"/>
      </w:pPr>
      <w:r>
        <w:rPr/>
        <w:t xml:space="preserve">Reception conditions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/>
      <w:r>
        <w:rPr/>
        <w:t xml:space="preserve"> </w:t>
      </w:r>
    </w:p>
    <w:p>
      <w:pPr>
        <w:pStyle w:val="Heading2"/>
      </w:pPr>
      <w:r>
        <w:rPr/>
        <w:t xml:space="preserve">Family reunification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Temporary protection procedure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p>
      <w:pPr>
        <w:pStyle w:val="Heading2"/>
      </w:pPr>
      <w:r>
        <w:rPr/>
        <w:t xml:space="preserve">Beneficiaries of international protection</w:t>
      </w:r>
    </w:p>
    <w:p>
      <w:pPr/>
      <w:r>
        <w:rPr/>
        <w:t xml:space="preserve">Following the entry into force of the reformed EU asylum acquis, a new law on international protection will take effect in June 2026.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Legal assistance and representation - Slovakia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2026-10-14T21:01:47+00:00</dcterms:created>
  <dcterms:modified xsi:type="dcterms:W3CDTF">2026-10-14T21:01:47+00:00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