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Forms of protection - Portugal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Renewal and withdrawal of international protection and national forms of protection</w:t>
      </w:r>
    </w:p>
    <w:p>
      <w:pPr>
        <w:pStyle w:val="Heading2"/>
      </w:pPr>
      <w:r>
        <w:rPr/>
        <w:t xml:space="preserve">Refugee status 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Subsidiary protection status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forms of protection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Content of protection</w:t>
      </w:r>
    </w:p>
    <w:p>
      <w:pPr>
        <w:pStyle w:val="Heading2"/>
      </w:pPr>
      <w:r>
        <w:rPr/>
        <w:t xml:space="preserve">Overview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Provision of information on the content of protection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Residence permits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Travel documents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Freedom of movement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employment and employment-related education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education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procedures for recognition of qualifications and validation of skills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Social security and social assistance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Healthcare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accommodation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integration measures</w:t>
      </w:r>
    </w:p>
    <w:p>
      <w:pPr/>
      <w:r>
        <w:rPr/>
        <w:t xml:space="preserve">Coming soon.</w:t>
      </w:r>
    </w:p>
    <w:p>
      <w:pPr>
        <w:pStyle w:val="Heading2"/>
      </w:pPr>
      <w:r>
        <w:rPr/>
        <w:t xml:space="preserve">Family reunification for beneficiaries of international protection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Forms of protection - Portugal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2026-10-15T02:06:55+00:00</dcterms:created>
  <dcterms:modified xsi:type="dcterms:W3CDTF">2026-10-15T02:06:55+00:00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