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New COI report on Sudan published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Updated version of the country of origin information report on Sudan, focused on security developments and the situation of civilians in the period of April 2024 and July 2025.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Swedish Migration Agency, Lifos | Migrationsverket, Lifos (12 September, 2025), Landinformation: Sudan. Säkerhetsutvecklingen och civilas situation, april 2024-juli 2025 (version 2.0) [Country information: Sudan. Security developments and the situation of civilians, April 2024 - July 2025 version 2.0],</w:t>
      </w:r>
      <w:hyperlink r:id="rId9" w:history="1">
        <w:r>
          <w:rPr>
            <w:color w:val="0444c4"/>
            <w:u w:val="single"/>
          </w:rPr>
          <w:t xml:space="preserve">https://lifos.migrationsverket.se/dokument?documentSummaryId=49384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12.09.2025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Sweden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First instance determination, Assessment of applications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Publication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492174F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developments/sweden/new-coi-report-sudan-published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lifos.migrationsverket.se/dokument?documentSummaryId=49384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2026-08-25T23:12:13+00:00</dcterms:created>
  <dcterms:modified xsi:type="dcterms:W3CDTF">2026-08-25T23:12:13+00:00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