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New COI report on Sudan published zzzzzz</w:t>
        </w:r>
      </w:hyperlink>
    </w:p>
    <w:p>
      <w:pPr/>
      <w:r>
        <w:rPr/>
        <w:t xml:space="preserve">Updated version of the country of origin information report on Sudan, focused on security developments and the situation of civilians in the period of April 2024 and July 2025. 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Swedish Migration Agency, Lifos | Migrationsverket, Lifos (12 September, 2025), Landinformation: Sudan. Säkerhetsutvecklingen och civilas situation, april 2024-juli 2025 (version 2.0) [Country information: Sudan. Security developments and the situation of civilians, April 2024 - July 2025 version 2.0],</w:t>
      </w:r>
      <w:hyperlink r:id="rId8" w:history="1">
        <w:r>
          <w:rPr>
            <w:color w:val="var(--word-link)"/>
          </w:rPr>
          <w:t xml:space="preserve">https://lifos.migrationsverket.se/dokument?documentSummaryId=49384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12.09.2025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Sweden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First instance determination, Assessment of applications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Publication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7BE910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sweden/new-coi-report-sudan-published" TargetMode="External"/><Relationship Id="rId8" Type="http://schemas.openxmlformats.org/officeDocument/2006/relationships/hyperlink" Target="https://lifos.migrationsverket.se/dokument?documentSummaryId=49384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2026-07-07T20:37:47+00:00</dcterms:created>
  <dcterms:modified xsi:type="dcterms:W3CDTF">2026-07-07T20:37:47+00:00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