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Greece</w:t>
      </w:r>
    </w:p>
    <w:p>
      <w:pPr>
        <w:pStyle w:val="Heading2"/>
      </w:pPr>
      <w:r>
        <w:rPr/>
        <w:t xml:space="preserve">Information provision - Greece</w:t>
      </w:r>
    </w:p>
    <w:p>
      <w:pPr>
        <w:numPr>
          <w:ilvl w:val="0"/>
          <w:numId w:val="4"/>
        </w:numPr>
      </w:pPr>
      <w:hyperlink w:anchor="section-12493" w:history="1">
        <w:r>
          <w:rPr>
            <w:color w:val="0444c4"/>
            <w:u w:val="single"/>
          </w:rPr>
          <w:t xml:space="preserve">Overview</w:t>
        </w:r>
      </w:hyperlink>
    </w:p>
    <w:p>
      <w:pPr>
        <w:numPr>
          <w:ilvl w:val="0"/>
          <w:numId w:val="4"/>
        </w:numPr>
      </w:pPr>
      <w:hyperlink w:anchor="section-12494" w:history="1">
        <w:r>
          <w:rPr>
            <w:color w:val="0444c4"/>
            <w:u w:val="single"/>
          </w:rPr>
          <w:t xml:space="preserve">Relevant EU legislation</w:t>
        </w:r>
      </w:hyperlink>
    </w:p>
    <w:p>
      <w:pPr>
        <w:numPr>
          <w:ilvl w:val="0"/>
          <w:numId w:val="4"/>
        </w:numPr>
      </w:pPr>
      <w:hyperlink w:anchor="section-12495" w:history="1">
        <w:r>
          <w:rPr>
            <w:color w:val="0444c4"/>
            <w:u w:val="single"/>
          </w:rPr>
          <w:t xml:space="preserve">National legislation</w:t>
        </w:r>
      </w:hyperlink>
    </w:p>
    <w:p>
      <w:pPr>
        <w:numPr>
          <w:ilvl w:val="0"/>
          <w:numId w:val="4"/>
        </w:numPr>
      </w:pPr>
      <w:hyperlink w:anchor="section-12496" w:history="1">
        <w:r>
          <w:rPr>
            <w:color w:val="0444c4"/>
            <w:u w:val="single"/>
          </w:rPr>
          <w:t xml:space="preserve">Competent authority and other stakeholders</w:t>
        </w:r>
      </w:hyperlink>
    </w:p>
    <w:p>
      <w:pPr>
        <w:numPr>
          <w:ilvl w:val="0"/>
          <w:numId w:val="4"/>
        </w:numPr>
      </w:pPr>
      <w:hyperlink w:anchor="section-12497" w:history="1">
        <w:r>
          <w:rPr>
            <w:color w:val="0444c4"/>
            <w:u w:val="single"/>
          </w:rPr>
          <w:t xml:space="preserve">Provision of information in the asylum procedure</w:t>
        </w:r>
      </w:hyperlink>
    </w:p>
    <w:p>
      <w:pPr>
        <w:numPr>
          <w:ilvl w:val="0"/>
          <w:numId w:val="4"/>
        </w:numPr>
      </w:pPr>
      <w:hyperlink w:anchor="section-12498" w:history="1">
        <w:r>
          <w:rPr>
            <w:color w:val="0444c4"/>
            <w:u w:val="single"/>
          </w:rPr>
          <w:t xml:space="preserve">Access to procedure</w:t>
        </w:r>
      </w:hyperlink>
    </w:p>
    <w:p>
      <w:pPr>
        <w:numPr>
          <w:ilvl w:val="0"/>
          <w:numId w:val="4"/>
        </w:numPr>
      </w:pPr>
      <w:hyperlink w:anchor="section-12499" w:history="1">
        <w:r>
          <w:rPr>
            <w:color w:val="0444c4"/>
            <w:u w:val="single"/>
          </w:rPr>
          <w:t xml:space="preserve">Dublin procedure</w:t>
        </w:r>
      </w:hyperlink>
    </w:p>
    <w:p>
      <w:pPr>
        <w:numPr>
          <w:ilvl w:val="0"/>
          <w:numId w:val="4"/>
        </w:numPr>
      </w:pPr>
      <w:hyperlink w:anchor="section-12507" w:history="1">
        <w:r>
          <w:rPr>
            <w:color w:val="0444c4"/>
            <w:u w:val="single"/>
          </w:rPr>
          <w:t xml:space="preserve">First instance determination</w:t>
        </w:r>
      </w:hyperlink>
    </w:p>
    <w:p>
      <w:pPr>
        <w:numPr>
          <w:ilvl w:val="0"/>
          <w:numId w:val="4"/>
        </w:numPr>
      </w:pPr>
      <w:hyperlink w:anchor="section-12500" w:history="1">
        <w:r>
          <w:rPr>
            <w:color w:val="0444c4"/>
            <w:u w:val="single"/>
          </w:rPr>
          <w:t xml:space="preserve">Legal assistance and representation</w:t>
        </w:r>
      </w:hyperlink>
    </w:p>
    <w:p>
      <w:pPr>
        <w:numPr>
          <w:ilvl w:val="0"/>
          <w:numId w:val="4"/>
        </w:numPr>
      </w:pPr>
      <w:hyperlink w:anchor="section-12501" w:history="1">
        <w:r>
          <w:rPr>
            <w:color w:val="0444c4"/>
            <w:u w:val="single"/>
          </w:rPr>
          <w:t xml:space="preserve">Resettlement and humanitarian admissions</w:t>
        </w:r>
      </w:hyperlink>
    </w:p>
    <w:p>
      <w:pPr>
        <w:numPr>
          <w:ilvl w:val="0"/>
          <w:numId w:val="4"/>
        </w:numPr>
      </w:pPr>
      <w:hyperlink w:anchor="section-12502" w:history="1">
        <w:r>
          <w:rPr>
            <w:color w:val="0444c4"/>
            <w:u w:val="single"/>
          </w:rPr>
          <w:t xml:space="preserve">Content of protection</w:t>
        </w:r>
      </w:hyperlink>
    </w:p>
    <w:p>
      <w:pPr>
        <w:numPr>
          <w:ilvl w:val="0"/>
          <w:numId w:val="4"/>
        </w:numPr>
      </w:pPr>
      <w:hyperlink w:anchor="section-12503" w:history="1">
        <w:r>
          <w:rPr>
            <w:color w:val="0444c4"/>
            <w:u w:val="single"/>
          </w:rPr>
          <w:t xml:space="preserve">Provision of information in reception</w:t>
        </w:r>
      </w:hyperlink>
    </w:p>
    <w:p>
      <w:pPr>
        <w:numPr>
          <w:ilvl w:val="0"/>
          <w:numId w:val="4"/>
        </w:numPr>
      </w:pPr>
      <w:hyperlink w:anchor="section-12504" w:history="1">
        <w:r>
          <w:rPr>
            <w:color w:val="0444c4"/>
            <w:u w:val="single"/>
          </w:rPr>
          <w:t xml:space="preserve">Reception conditions</w:t>
        </w:r>
      </w:hyperlink>
    </w:p>
    <w:p>
      <w:pPr>
        <w:numPr>
          <w:ilvl w:val="0"/>
          <w:numId w:val="4"/>
        </w:numPr>
      </w:pPr>
      <w:hyperlink w:anchor="section-12505" w:history="1">
        <w:r>
          <w:rPr>
            <w:color w:val="0444c4"/>
            <w:u w:val="single"/>
          </w:rPr>
          <w:t xml:space="preserve">In detention</w:t>
        </w:r>
      </w:hyperlink>
    </w:p>
    <w:p>
      <w:pPr>
        <w:pStyle w:val="Heading1"/>
      </w:pPr>
      <w:r>
        <w:rPr/>
        <w:t xml:space="preserve">Information provision - Greece</w:t>
      </w:r>
    </w:p>
    <w:p>
      <w:pPr>
        <w:pStyle w:val="Heading2"/>
      </w:pPr>
      <w:r>
        <w:rPr/>
        <w:t xml:space="preserve">Overview</w:t>
      </w:r>
    </w:p>
    <w:p>
      <w:pPr/>
      <w:r>
        <w:rPr/>
        <w:t xml:space="preserve">Content updated and validated on: 30/09/2026</w:t>
      </w:r>
    </w:p>
    <w:p>
      <w:pPr>
        <w:pStyle w:val="Heading2"/>
      </w:pPr>
      <w:r>
        <w:rPr/>
        <w:t xml:space="preserve">Relevant EU legislation</w:t>
      </w:r>
    </w:p>
    <w:p>
      <w:pPr/>
      <w:r>
        <w:rPr/>
        <w:t xml:space="preserve">Greece is bound by the Asylum Procedures Regulation [Regulation (EU) 2024/1348], which has been reflected in Law 5307/2026 on the ‘Implementation of the Pact on Migration and Asylum, other provisions of the Ministry of Migration and Asylum and other urgent provisions’ (OGG A’ 90/2026) | </w:t>
      </w:r>
      <w:hyperlink r:id="rId21" w:history="1">
        <w:r>
          <w:rPr>
            <w:color w:val="0444c4"/>
            <w:u w:val="single"/>
          </w:rPr>
          <w:t xml:space="preserve">Εφαρμογή του Συμφώνου για τη Μετανάστευση και το Άσυλο, λοιπές διατάξεις του Υπουργείου Μετανάστευσης και Ασύλου και άλλες επείγουσες διατάξεις. </w:t>
        </w:r>
      </w:hyperlink>
      <w:br/>
      <w:br/>
      <w:r>
        <w:rPr/>
        <w:t xml:space="preserve">Greece is bound by the new Reception Conditions Directive [Regulation (EU) 2024/1346] and has transposed its provisions through the Law 5307/2026 on the ‘Implementation of the Pact on Migration and Asylum, other provisions of the Ministry of Migration and Asylum and other urgent provisions’ (OGG A’ 90/2026) | </w:t>
      </w:r>
      <w:hyperlink r:id="rId21" w:history="1">
        <w:r>
          <w:rPr>
            <w:color w:val="0444c4"/>
            <w:u w:val="single"/>
          </w:rPr>
          <w:t xml:space="preserve">Εφαρμογή του Συμφώνου για τη Μετανάστευση και το Άσυλο, λοιπές διατάξεις του Υπουργείου Μετανάστευσης και Ασύλου και άλλες επείγουσες διατάξεις.</w:t>
        </w:r>
      </w:hyperlink>
      <w:br/>
      <w:r>
        <w:rPr/>
        <w:t xml:space="preserve"> </w:t>
      </w:r>
    </w:p>
    <w:p>
      <w:pPr>
        <w:pStyle w:val="Heading2"/>
      </w:pPr>
      <w:r>
        <w:rPr/>
        <w:t xml:space="preserve">National legislation</w:t>
      </w:r>
    </w:p>
    <w:p>
      <w:pPr/>
      <w:r>
        <w:rPr/>
        <w:t xml:space="preserve">Law 5307/2026 on the ‘Implementation of the Pact on Migration and Asylum, other provisions of the Ministry of Migration and Asylum and other urgent provisions’ (OGG A’ 90/2026) | </w:t>
      </w:r>
      <w:hyperlink r:id="rId21" w:history="1">
        <w:r>
          <w:rPr>
            <w:color w:val="0444c4"/>
            <w:u w:val="single"/>
          </w:rPr>
          <w:t xml:space="preserve">Εφαρμογή του Συμφώνου για τη Μετανάστευση και το Άσυλο, λοιπές διατάξεις του Υπουργείου Μετανάστευσης και Ασύλου και άλλες επείγουσες διατάξεις.</w:t>
        </w:r>
      </w:hyperlink>
    </w:p>
    <w:p>
      <w:pPr>
        <w:pStyle w:val="Heading2"/>
      </w:pPr>
      <w:r>
        <w:rPr/>
        <w:t xml:space="preserve">Competent authority and other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Reception and Identification Service | </w:t>
            </w:r>
            <w:hyperlink r:id="rId22" w:history="1">
              <w:r>
                <w:rPr>
                  <w:color w:val="0444c4"/>
                  <w:u w:val="single"/>
                </w:rPr>
                <w:t xml:space="preserve">Υπηρεσία Υποδοχής και Ταυτοποίησης </w:t>
              </w:r>
            </w:hyperlink>
          </w:p>
        </w:tc>
      </w:tr>
      <w:tr>
        <w:trPr/>
        <w:tc>
          <w:tcPr>
            <w:tcW w:w="2994" w:type="dxa"/>
            <w:noWrap/>
          </w:tcPr>
          <w:p>
            <w:pPr/>
            <w:r>
              <w:rPr/>
              <w:t xml:space="preserve">Registration of application</w:t>
            </w:r>
          </w:p>
        </w:tc>
        <w:tc>
          <w:tcPr>
            <w:tcW w:w="6078" w:type="dxa"/>
            <w:noWrap/>
          </w:tcPr>
          <w:p>
            <w:pPr/>
            <w:r>
              <w:rPr/>
              <w:t xml:space="preserve">Asylum Service | </w:t>
            </w:r>
            <w:hyperlink r:id="rId23" w:history="1">
              <w:r>
                <w:rPr>
                  <w:color w:val="0444c4"/>
                  <w:u w:val="single"/>
                </w:rPr>
                <w:t xml:space="preserve">Υπηρεσία Ασύλου </w:t>
              </w:r>
            </w:hyperlink>
            <w:br/>
            <w:r>
              <w:rPr/>
              <w:t xml:space="preserve">Reception and Identification Service | </w:t>
            </w:r>
            <w:hyperlink r:id="rId22" w:history="1">
              <w:r>
                <w:rPr>
                  <w:color w:val="0444c4"/>
                  <w:u w:val="single"/>
                </w:rPr>
                <w:t xml:space="preserve">Υπηρεσία Υποδοχής και Ταυτοποίησης</w:t>
              </w:r>
            </w:hyperlink>
          </w:p>
        </w:tc>
      </w:tr>
      <w:tr>
        <w:trPr/>
        <w:tc>
          <w:tcPr>
            <w:tcW w:w="2994" w:type="dxa"/>
            <w:noWrap/>
          </w:tcPr>
          <w:p>
            <w:pPr/>
            <w:r>
              <w:rPr/>
              <w:t xml:space="preserve">Lodging of application</w:t>
            </w:r>
          </w:p>
        </w:tc>
        <w:tc>
          <w:tcPr>
            <w:tcW w:w="6078" w:type="dxa"/>
            <w:noWrap/>
          </w:tcPr>
          <w:p>
            <w:pPr/>
            <w:r>
              <w:rPr/>
              <w:t xml:space="preserve">Asylum Service | </w:t>
            </w:r>
            <w:hyperlink r:id="rId23" w:history="1">
              <w:r>
                <w:rPr>
                  <w:color w:val="0444c4"/>
                  <w:u w:val="single"/>
                </w:rPr>
                <w:t xml:space="preserve">Υπηρεσία Ασύλου </w:t>
              </w:r>
            </w:hyperlink>
            <w:br/>
            <w:r>
              <w:rPr/>
              <w:t xml:space="preserve">Reception and Identification Service | </w:t>
            </w:r>
            <w:hyperlink r:id="rId22" w:history="1">
              <w:r>
                <w:rPr>
                  <w:color w:val="0444c4"/>
                  <w:u w:val="single"/>
                </w:rPr>
                <w:t xml:space="preserve">Υπηρεσία Υποδοχής και Ταυτοποίησης</w:t>
              </w:r>
            </w:hyperlink>
          </w:p>
        </w:tc>
      </w:tr>
      <w:tr>
        <w:trPr/>
        <w:tc>
          <w:tcPr>
            <w:tcW w:w="2994" w:type="dxa"/>
            <w:noWrap/>
          </w:tcPr>
          <w:p>
            <w:pPr/>
            <w:r>
              <w:rPr/>
              <w:t xml:space="preserve">Dublin procedure</w:t>
            </w:r>
          </w:p>
        </w:tc>
        <w:tc>
          <w:tcPr>
            <w:tcW w:w="6078" w:type="dxa"/>
            <w:noWrap/>
          </w:tcPr>
          <w:p>
            <w:pPr/>
            <w:r>
              <w:rPr/>
              <w:t xml:space="preserve">Asylum Service | </w:t>
            </w:r>
            <w:hyperlink r:id="rId23" w:history="1">
              <w:r>
                <w:rPr>
                  <w:color w:val="0444c4"/>
                  <w:u w:val="single"/>
                </w:rPr>
                <w:t xml:space="preserve">Υπηρεσία Ασύλου </w:t>
              </w:r>
            </w:hyperlink>
            <w:br/>
            <w:r>
              <w:rPr/>
              <w:t xml:space="preserve">Reception and Identification Service | </w:t>
            </w:r>
            <w:hyperlink r:id="rId22" w:history="1">
              <w:r>
                <w:rPr>
                  <w:color w:val="0444c4"/>
                  <w:u w:val="single"/>
                </w:rPr>
                <w:t xml:space="preserve">Υπηρεσία Υποδοχής και Ταυτοποίησης</w:t>
              </w:r>
            </w:hyperlink>
          </w:p>
        </w:tc>
      </w:tr>
      <w:tr>
        <w:trPr/>
        <w:tc>
          <w:tcPr>
            <w:tcW w:w="2994" w:type="dxa"/>
            <w:noWrap/>
          </w:tcPr>
          <w:p>
            <w:pPr/>
            <w:r>
              <w:rPr/>
              <w:t xml:space="preserve">Assessment of application</w:t>
            </w:r>
          </w:p>
        </w:tc>
        <w:tc>
          <w:tcPr>
            <w:tcW w:w="6078" w:type="dxa"/>
            <w:noWrap/>
          </w:tcPr>
          <w:p>
            <w:pPr/>
            <w:r>
              <w:rPr/>
              <w:t xml:space="preserve">Asylum Service | </w:t>
            </w:r>
            <w:hyperlink r:id="rId23" w:history="1">
              <w:r>
                <w:rPr>
                  <w:color w:val="0444c4"/>
                  <w:u w:val="single"/>
                </w:rPr>
                <w:t xml:space="preserve">Υπηρεσία Ασύλου </w:t>
              </w:r>
            </w:hyperlink>
          </w:p>
        </w:tc>
      </w:tr>
      <w:tr>
        <w:trPr/>
        <w:tc>
          <w:tcPr>
            <w:tcW w:w="2994" w:type="dxa"/>
            <w:noWrap/>
          </w:tcPr>
          <w:p>
            <w:pPr/>
            <w:r>
              <w:rPr/>
              <w:t xml:space="preserve">Communication of first instance decision</w:t>
            </w:r>
          </w:p>
        </w:tc>
        <w:tc>
          <w:tcPr>
            <w:tcW w:w="6078" w:type="dxa"/>
            <w:noWrap/>
          </w:tcPr>
          <w:p>
            <w:pPr/>
            <w:r>
              <w:rPr/>
              <w:t xml:space="preserve">Asylum Service | </w:t>
            </w:r>
            <w:hyperlink r:id="rId23" w:history="1">
              <w:r>
                <w:rPr>
                  <w:color w:val="0444c4"/>
                  <w:u w:val="single"/>
                </w:rPr>
                <w:t xml:space="preserve">Υπηρεσία Ασύλου </w:t>
              </w:r>
            </w:hyperlink>
          </w:p>
        </w:tc>
      </w:tr>
      <w:tr>
        <w:trPr/>
        <w:tc>
          <w:tcPr>
            <w:tcW w:w="2994" w:type="dxa"/>
            <w:noWrap/>
          </w:tcPr>
          <w:p>
            <w:pPr/>
            <w:r>
              <w:rPr/>
              <w:t xml:space="preserve">Content of protection</w:t>
            </w:r>
          </w:p>
        </w:tc>
        <w:tc>
          <w:tcPr>
            <w:tcW w:w="6078" w:type="dxa"/>
            <w:noWrap/>
          </w:tcPr>
          <w:p>
            <w:pPr/>
            <w:r>
              <w:rPr/>
              <w:t xml:space="preserve">Asylum Service | </w:t>
            </w:r>
            <w:hyperlink r:id="rId23" w:history="1">
              <w:r>
                <w:rPr>
                  <w:color w:val="0444c4"/>
                  <w:u w:val="single"/>
                </w:rPr>
                <w:t xml:space="preserve">Υπηρεσία Ασύλου </w:t>
              </w:r>
            </w:hyperlink>
          </w:p>
        </w:tc>
      </w:tr>
      <w:tr>
        <w:trPr/>
        <w:tc>
          <w:tcPr>
            <w:tcW w:w="2994" w:type="dxa"/>
            <w:noWrap/>
          </w:tcPr>
          <w:p>
            <w:pPr/>
            <w:r>
              <w:rPr/>
              <w:t xml:space="preserve">Appeal procedure</w:t>
            </w:r>
          </w:p>
        </w:tc>
        <w:tc>
          <w:tcPr>
            <w:tcW w:w="6078" w:type="dxa"/>
            <w:noWrap/>
          </w:tcPr>
          <w:p>
            <w:pPr/>
            <w:r>
              <w:rPr/>
              <w:t xml:space="preserve">Coming soon</w:t>
            </w:r>
          </w:p>
        </w:tc>
      </w:tr>
      <w:tr>
        <w:trPr/>
        <w:tc>
          <w:tcPr>
            <w:tcW w:w="2994" w:type="dxa"/>
            <w:noWrap/>
          </w:tcPr>
          <w:p>
            <w:pPr/>
            <w:r>
              <w:rPr/>
              <w:t xml:space="preserve">Communication of second instance decision</w:t>
            </w:r>
          </w:p>
        </w:tc>
        <w:tc>
          <w:tcPr>
            <w:tcW w:w="6078" w:type="dxa"/>
            <w:noWrap/>
          </w:tcPr>
          <w:p>
            <w:pPr/>
            <w:r>
              <w:rPr/>
              <w:t xml:space="preserve">Coming soon</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Coming soon</w:t>
      </w:r>
    </w:p>
    <w:p>
      <w:pPr>
        <w:pStyle w:val="Heading2"/>
      </w:pPr>
      <w:r>
        <w:rPr/>
        <w:t xml:space="preserve">Dublin procedure</w:t>
      </w:r>
    </w:p>
    <w:p>
      <w:pPr/>
      <w:r>
        <w:rPr/>
        <w:t xml:space="preserve">Applicants are informed about the Dublin procedure during the registration stage, the prescreening stage of each case and before the Dublin examination is conducted. Information is provided regarding the objectives of the Dublin procedure; the criteria for determining the responsible Member State; family reunification possibilities; criteria related to illegal entry/stay or previous presence and asylum applications in another Member States; the purpose of the personal interview; during which applicants may submit information relevant to the determination of the responsible Member State. </w:t>
      </w:r>
      <w:br/>
      <w:br/>
      <w:r>
        <w:rPr/>
        <w:t xml:space="preserve">Information provided covers the purpose and scope of the Dublin III Regulation; the criteria for determining the responsible Member State; family reunification provisions; applicants’ rights and obligations during the procedure; the personal interview; the submission of evidence and supporting documentation; applicable procedural deadlines; the exchange of information between Member States; the transfer procedure; and available legal remedies against a transfer decision.</w:t>
      </w:r>
      <w:br/>
      <w:br/>
      <w:r>
        <w:rPr/>
        <w:t xml:space="preserve">Information is provided both orally and in writing, with the assistance of interpretation. Applicants receive the relevant information through the registration and lodging process, written information materials, and the Common Dublin Information Leaflet.</w:t>
      </w:r>
      <w:br/>
      <w:br/>
      <w:r>
        <w:rPr/>
        <w:t xml:space="preserve">Information is provided in a language that the applicant understands, or is reasonably supposed to understand. Interpretation services are provided where necessary throughout the Dublin procedure.</w:t>
      </w:r>
      <w:br/>
      <w:br/>
      <w:r>
        <w:rPr/>
        <w:t xml:space="preserve">No additional national information leaflet is used. Applicants should receive the Common Dublin Information Leaflet along with specific information provided by the competent authorities.</w:t>
      </w:r>
      <w:br/>
      <w:br/>
      <w:r>
        <w:rPr/>
        <w:t xml:space="preserve">The following publicly available resources are available:</w:t>
      </w:r>
    </w:p>
    <w:p>
      <w:pPr>
        <w:numPr>
          <w:ilvl w:val="0"/>
          <w:numId w:val="5"/>
        </w:numPr>
      </w:pPr>
      <w:hyperlink r:id="rId24" w:history="1">
        <w:r>
          <w:rPr>
            <w:color w:val="0444c4"/>
            <w:u w:val="single"/>
          </w:rPr>
          <w:t xml:space="preserve">EUAA / European Commission Common Dublin Information Leaflet</w:t>
        </w:r>
      </w:hyperlink>
    </w:p>
    <w:p>
      <w:pPr>
        <w:numPr>
          <w:ilvl w:val="0"/>
          <w:numId w:val="5"/>
        </w:numPr>
      </w:pPr>
      <w:hyperlink r:id="rId25" w:history="1">
        <w:r>
          <w:rPr>
            <w:color w:val="0444c4"/>
            <w:u w:val="single"/>
          </w:rPr>
          <w:t xml:space="preserve">Ministry of Migration and Asylum (Greece) – Dublin III Regulation</w:t>
        </w:r>
      </w:hyperlink>
    </w:p>
    <w:p>
      <w:pPr/>
      <w:br/>
      <w:r>
        <w:rPr/>
        <w:t xml:space="preserve">No specific information materials have been developed for applicants with special needs exclusively on the Dublin procedure. However, applicants with special needs receive tailored information and support through specialised staff and appropriate referral mechanisms, taking into account their individual circumstances and vulnerabilities.</w:t>
      </w:r>
      <w:br/>
      <w:br/>
      <w:r>
        <w:rPr/>
        <w:t xml:space="preserve">Applicants receive information on relocation when they are identified as potentially eligible for relocation. The information regarding the relocation program is provided by the dedicated personnel of the Greek Dublin Unit along with the IOM Greece staff as well as the EUAA staff involved in the relocation process. The information covers eligibility criteria, procedural steps, rights and obligations, required documentation and transfer arrangements.</w:t>
      </w:r>
      <w:br/>
      <w:r>
        <w:rPr/>
        <w:t xml:space="preserve"> </w:t>
      </w:r>
    </w:p>
    <w:p>
      <w:pPr>
        <w:pStyle w:val="Heading2"/>
      </w:pPr>
      <w:r>
        <w:rPr/>
        <w:t xml:space="preserve">First instance determination</w:t>
      </w:r>
    </w:p>
    <w:p>
      <w:pPr/>
      <w:r>
        <w:rPr/>
        <w:t xml:space="preserve">Coming soon</w:t>
      </w:r>
    </w:p>
    <w:p>
      <w:pPr>
        <w:pStyle w:val="Heading2"/>
      </w:pPr>
      <w:r>
        <w:rPr/>
        <w:t xml:space="preserve">Legal assistance and representation</w:t>
      </w:r>
    </w:p>
    <w:p>
      <w:pPr/>
      <w:r>
        <w:rPr/>
        <w:t xml:space="preserve">Coming soon</w:t>
      </w:r>
    </w:p>
    <w:p>
      <w:pPr>
        <w:pStyle w:val="Heading2"/>
      </w:pPr>
      <w:r>
        <w:rPr/>
        <w:t xml:space="preserve">Resettlement and humanitarian admissions</w:t>
      </w:r>
    </w:p>
    <w:p>
      <w:pPr/>
      <w:r>
        <w:rPr>
          <w:lang w:val="EN-US"/>
        </w:rPr>
        <w:t xml:space="preserve">Resettlement is currently not implemented in Greece. </w:t>
      </w:r>
    </w:p>
    <w:p>
      <w:pPr>
        <w:pStyle w:val="Heading2"/>
      </w:pPr>
      <w:r>
        <w:rPr/>
        <w:t xml:space="preserve">Content of protection</w:t>
      </w:r>
    </w:p>
    <w:p>
      <w:pPr/>
      <w:r>
        <w:rPr/>
        <w:t xml:space="preserve">Coming soon</w:t>
      </w:r>
    </w:p>
    <w:p>
      <w:pPr>
        <w:pStyle w:val="Heading2"/>
      </w:pPr>
      <w:r>
        <w:rPr/>
        <w:t xml:space="preserve">Provision of information in reception</w:t>
      </w:r>
    </w:p>
    <w:p>
      <w:pPr>
        <w:pStyle w:val="Heading2"/>
      </w:pPr>
      <w:r>
        <w:rPr/>
        <w:t xml:space="preserve">Reception conditions</w:t>
      </w:r>
    </w:p>
    <w:p>
      <w:pPr/>
      <w:r>
        <w:rPr/>
        <w:t xml:space="preserve">Coming soon</w:t>
      </w:r>
    </w:p>
    <w:p>
      <w:pPr>
        <w:pStyle w:val="Heading2"/>
      </w:pPr>
      <w:r>
        <w:rPr/>
        <w:t xml:space="preserve">In detention</w:t>
      </w:r>
    </w:p>
    <w:p>
      <w:pPr/>
      <w:r>
        <w:rPr/>
        <w:t xml:space="preserve">Coming soon</w:t>
      </w:r>
    </w:p>
    <w:sectPr>
      <w:headerReference w:type="default" r:id="rId26"/>
      <w:footerReference w:type="default" r:id="rId2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Greece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5A0D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34D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2493" TargetMode="External"/><Relationship Id="rId8" Type="http://schemas.openxmlformats.org/officeDocument/2006/relationships/hyperlink" Target="section-12494" TargetMode="External"/><Relationship Id="rId9" Type="http://schemas.openxmlformats.org/officeDocument/2006/relationships/hyperlink" Target="section-12495" TargetMode="External"/><Relationship Id="rId10" Type="http://schemas.openxmlformats.org/officeDocument/2006/relationships/hyperlink" Target="section-12496" TargetMode="External"/><Relationship Id="rId11" Type="http://schemas.openxmlformats.org/officeDocument/2006/relationships/hyperlink" Target="section-12497" TargetMode="External"/><Relationship Id="rId12" Type="http://schemas.openxmlformats.org/officeDocument/2006/relationships/hyperlink" Target="section-12498" TargetMode="External"/><Relationship Id="rId13" Type="http://schemas.openxmlformats.org/officeDocument/2006/relationships/hyperlink" Target="section-12499" TargetMode="External"/><Relationship Id="rId14" Type="http://schemas.openxmlformats.org/officeDocument/2006/relationships/hyperlink" Target="section-12507" TargetMode="External"/><Relationship Id="rId15" Type="http://schemas.openxmlformats.org/officeDocument/2006/relationships/hyperlink" Target="section-12500" TargetMode="External"/><Relationship Id="rId16" Type="http://schemas.openxmlformats.org/officeDocument/2006/relationships/hyperlink" Target="section-12501" TargetMode="External"/><Relationship Id="rId17" Type="http://schemas.openxmlformats.org/officeDocument/2006/relationships/hyperlink" Target="section-12502" TargetMode="External"/><Relationship Id="rId18" Type="http://schemas.openxmlformats.org/officeDocument/2006/relationships/hyperlink" Target="section-12503" TargetMode="External"/><Relationship Id="rId19" Type="http://schemas.openxmlformats.org/officeDocument/2006/relationships/hyperlink" Target="section-12504" TargetMode="External"/><Relationship Id="rId20" Type="http://schemas.openxmlformats.org/officeDocument/2006/relationships/hyperlink" Target="section-12505" TargetMode="External"/><Relationship Id="rId21" Type="http://schemas.openxmlformats.org/officeDocument/2006/relationships/hyperlink" Target="https://search.et.gr/el/fek/?fekId=800190" TargetMode="External"/><Relationship Id="rId22" Type="http://schemas.openxmlformats.org/officeDocument/2006/relationships/hyperlink" Target="https://migration.gov.gr/ris/" TargetMode="External"/><Relationship Id="rId23" Type="http://schemas.openxmlformats.org/officeDocument/2006/relationships/hyperlink" Target="https://migration.gov.gr/gas/" TargetMode="External"/><Relationship Id="rId24" Type="http://schemas.openxmlformats.org/officeDocument/2006/relationships/hyperlink" Target="https://lsa.euaa.europa.eu/templates/dublin-common-leaflet-part%20" TargetMode="External"/><Relationship Id="rId25" Type="http://schemas.openxmlformats.org/officeDocument/2006/relationships/hyperlink" Target="https://migration.gov.gr/en/gas/diadikasies/doyvlino-iii/" TargetMode="External"/><Relationship Id="rId26" Type="http://schemas.openxmlformats.org/officeDocument/2006/relationships/header" Target="header1.xm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2026-10-14T23:51:42+00:00</dcterms:created>
  <dcterms:modified xsi:type="dcterms:W3CDTF">2026-10-14T23:51:42+00:00</dcterms:modified>
</cp:coreProperties>
</file>

<file path=docProps/custom.xml><?xml version="1.0" encoding="utf-8"?>
<Properties xmlns="http://schemas.openxmlformats.org/officeDocument/2006/custom-properties" xmlns:vt="http://schemas.openxmlformats.org/officeDocument/2006/docPropsVTypes"/>
</file>