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Resettlement and humanitarian admission - Greece</w:t>
      </w:r>
    </w:p>
    <w:p>
      <w:pPr>
        <w:pStyle w:val="Heading2"/>
      </w:pPr>
      <w:r>
        <w:rPr/>
        <w:t xml:space="preserve">Overview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Greece is bound by the Union Resettlement and Humanitarian Admission Framework Regulation (URF).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Greece has no dedicated national legal act or consolidated legal framework specifically governing resettlement procedures.</w:t>
      </w:r>
    </w:p>
    <w:p>
      <w:pPr>
        <w:pStyle w:val="Heading2"/>
      </w:pPr>
      <w:r>
        <w:rPr/>
        <w:t xml:space="preserve">Competent authority and stakeholders</w:t>
      </w:r>
    </w:p>
    <w:p>
      <w:pPr/>
      <w:r>
        <w:rPr/>
        <w:t xml:space="preserve"> 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Authorities responsible for establishing resettlement and humanitarian admission policy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There is no designated competent authority for matters of resettlement.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Identification and referral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Selection of refugees for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Pre-departure assistance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Travel arrangements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Arrival and reception a) resettlement programmes b) humanitarian admission programmes c) community sponsorship programmes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Programmes currently in place</w:t>
      </w:r>
    </w:p>
    <w:p>
      <w:pPr/>
      <w:r>
        <w:rPr/>
        <w:t xml:space="preserve">Greece is not implementing resettlement or humanitarian admission programmes at the moment.</w:t>
      </w:r>
    </w:p>
    <w:p>
      <w:pPr>
        <w:pStyle w:val="Heading2"/>
      </w:pPr>
      <w:r>
        <w:rPr/>
        <w:t xml:space="preserve">National quotas on resettlement and humanitarian admissions</w:t>
      </w:r>
    </w:p>
    <w:p>
      <w:pPr>
        <w:pStyle w:val="Heading2"/>
      </w:pPr>
      <w:r>
        <w:rPr/>
        <w:t xml:space="preserve">National commitments for resettlement, humanitarian admissions and emergency quota</w:t>
      </w:r>
    </w:p>
    <w:p>
      <w:pPr/>
      <w:r>
        <w:rPr/>
        <w:t xml:space="preserve"> </w:t>
      </w:r>
    </w:p>
    <w:tbl>
      <w:tblGrid>
        <w:gridCol/>
        <w:gridCol/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>
          <w:tblHeader w:val="1"/>
        </w:trPr>
        <w:tc>
          <w:tcPr>
            <w:tcW w:w="2268" w:type="dxa"/>
            <w:noWrap/>
          </w:tcPr>
          <w:p>
            <w:pPr/>
            <w:r>
              <w:rPr/>
              <w:t xml:space="preserve">2-year Union Plan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resettlement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National commitment for humanitarian admissions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Emergency quota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2024-2025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2026-2027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  <w:tr>
        <w:trPr/>
        <w:tc>
          <w:tcPr>
            <w:tcW w:w="2268" w:type="dxa"/>
            <w:noWrap/>
          </w:tcPr>
          <w:p>
            <w:pPr/>
            <w:r>
              <w:rPr/>
              <w:t xml:space="preserve">Period 2028-2029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  <w:tc>
          <w:tcPr>
            <w:tcW w:w="2268" w:type="dxa"/>
            <w:noWrap/>
          </w:tcPr>
          <w:p>
            <w:pPr/>
            <w:r>
              <w:rPr/>
              <w:t xml:space="preserve">N/a</w:t>
            </w:r>
          </w:p>
        </w:tc>
      </w:tr>
    </w:tbl>
    <w:p>
      <w:pPr>
        <w:pStyle w:val="Heading2"/>
      </w:pPr>
      <w:r>
        <w:rPr/>
        <w:t xml:space="preserve">Procedural and practical arrangements</w:t>
      </w:r>
    </w:p>
    <w:p>
      <w:pPr>
        <w:pStyle w:val="Heading2"/>
      </w:pPr>
      <w:r>
        <w:rPr/>
        <w:t xml:space="preserve">The admission procedure</w:t>
      </w:r>
    </w:p>
    <w:p>
      <w:pPr/>
      <w:r>
        <w:rPr/>
        <w:t xml:space="preserve">Greece is not implementing resettlement or humanitarian admission programmes at the moment.</w:t>
      </w:r>
    </w:p>
    <w:p>
      <w:pPr>
        <w:pStyle w:val="Heading2"/>
      </w:pPr>
      <w:r>
        <w:rPr/>
        <w:t xml:space="preserve">Pre-departure assistance</w:t>
      </w:r>
    </w:p>
    <w:p>
      <w:pPr/>
      <w:r>
        <w:rPr/>
        <w:t xml:space="preserve">Greece is not implementing resettlement or humanitarian admission programmes at the moment.</w:t>
      </w:r>
    </w:p>
    <w:p>
      <w:pPr>
        <w:pStyle w:val="Heading2"/>
      </w:pPr>
      <w:r>
        <w:rPr/>
        <w:t xml:space="preserve">Travel arrangements</w:t>
      </w:r>
    </w:p>
    <w:p>
      <w:pPr/>
      <w:r>
        <w:rPr/>
        <w:t xml:space="preserve">Greece is not implementing resettlement or humanitarian admission programmes at the moment.</w:t>
      </w:r>
    </w:p>
    <w:p>
      <w:pPr>
        <w:pStyle w:val="Heading2"/>
      </w:pPr>
      <w:r>
        <w:rPr/>
        <w:t xml:space="preserve">Arrival and reception</w:t>
      </w:r>
    </w:p>
    <w:p>
      <w:pPr/>
      <w:r>
        <w:rPr/>
        <w:t xml:space="preserve">Greece is not implementing resettlement or humanitarian admission programmes at the moment.</w:t>
      </w:r>
    </w:p>
    <w:p>
      <w:pPr>
        <w:pStyle w:val="Heading2"/>
      </w:pPr>
      <w:r>
        <w:rPr/>
        <w:t xml:space="preserve">Integration support to resettled and admitted refugees</w:t>
      </w:r>
    </w:p>
    <w:p>
      <w:pPr/>
      <w:r>
        <w:rPr/>
        <w:t xml:space="preserve">Greece is not implementing resettlement or humanitarian admission programmes at the moment.</w:t>
      </w:r>
    </w:p>
    <w:p>
      <w:pPr>
        <w:pStyle w:val="Heading2"/>
      </w:pPr>
      <w:r>
        <w:rPr/>
        <w:t xml:space="preserve">Resettlement programmes</w:t>
      </w:r>
    </w:p>
    <w:p>
      <w:pPr/>
      <w:r>
        <w:rPr/>
        <w:t xml:space="preserve">Greece is not implementing resettlement or humanitarian admission programmes at the moment.</w:t>
      </w:r>
    </w:p>
    <w:p>
      <w:pPr>
        <w:pStyle w:val="Heading2"/>
      </w:pPr>
      <w:r>
        <w:rPr/>
        <w:t xml:space="preserve">Humanitarian admission programmes</w:t>
      </w:r>
    </w:p>
    <w:p>
      <w:pPr/>
      <w:r>
        <w:rPr/>
        <w:t xml:space="preserve">Greece is not implementing humanitarian admission programmes at the moment.</w:t>
      </w:r>
    </w:p>
    <w:p>
      <w:pPr>
        <w:pStyle w:val="Heading2"/>
      </w:pPr>
      <w:r>
        <w:rPr/>
        <w:t xml:space="preserve">Complementary pathways</w:t>
      </w:r>
    </w:p>
    <w:p>
      <w:pPr>
        <w:pStyle w:val="Heading2"/>
      </w:pPr>
      <w:r>
        <w:rPr/>
        <w:t xml:space="preserve">Community sponsorship schemes related to state-led resettlement programmes</w:t>
      </w:r>
    </w:p>
    <w:p>
      <w:pPr/>
      <w:r>
        <w:rPr/>
        <w:t xml:space="preserve">Greece is not implementing community sponsorship schemes related to state-led resettlement programmes at the moment.</w:t>
      </w:r>
    </w:p>
    <w:p>
      <w:pPr>
        <w:pStyle w:val="Heading2"/>
      </w:pPr>
      <w:r>
        <w:rPr/>
        <w:t xml:space="preserve">Community sponsorship schemes linked to civil society-led humanitarian admission programmes</w:t>
      </w:r>
    </w:p>
    <w:p>
      <w:pPr/>
      <w:r>
        <w:rPr/>
        <w:t xml:space="preserve">Greece is not implementing community sponsorship schemes linked to civil society-led humanitarian admission programmes at the moment.</w:t>
      </w:r>
    </w:p>
    <w:p>
      <w:pPr>
        <w:pStyle w:val="Heading2"/>
      </w:pPr>
      <w:r>
        <w:rPr/>
        <w:t xml:space="preserve">Community sponsorship schemes linked to other complementary pathways</w:t>
      </w:r>
    </w:p>
    <w:p>
      <w:pPr/>
      <w:r>
        <w:rPr/>
        <w:t xml:space="preserve">Greece is not implementing community sponsorship schemes linked to other complementary pathways at the moment.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Resettlement and humanitarian admission - Greece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2026-07-12T15:03:09+00:00</dcterms:created>
  <dcterms:modified xsi:type="dcterms:W3CDTF">2026-07-12T15:03:09+00:00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