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Applicants with special needs - Denmark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Training initiatives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needs in reception</w:t>
      </w:r>
    </w:p>
    <w:p>
      <w:pPr>
        <w:pStyle w:val="Heading2"/>
      </w:pPr>
      <w:r>
        <w:rPr/>
        <w:t xml:space="preserve">Identification of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Referral of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and care of applicants with special needs and vulnerabilities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facilities and other housing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vulnerable persons and applicants with special reception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of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facilities and other housing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Age assessments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healthcare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Transition to adulthood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procedural guarantees</w:t>
      </w:r>
    </w:p>
    <w:p>
      <w:pPr>
        <w:pStyle w:val="Heading2"/>
      </w:pPr>
      <w:r>
        <w:rPr/>
        <w:t xml:space="preserve">First instance determination for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Guarantees for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Making, registering and lodging an asylum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Information provision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Best interests of the child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representation during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counselling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Applicants with  special needs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2026-10-14T21:46:47+00:00</dcterms:created>
  <dcterms:modified xsi:type="dcterms:W3CDTF">2026-10-14T21:46:47+00:00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