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Malta</w:t>
      </w:r>
    </w:p>
    <w:p>
      <w:pPr>
        <w:pStyle w:val="Heading2"/>
      </w:pPr>
      <w:r>
        <w:rPr/>
        <w:t xml:space="preserve">Overview</w:t>
      </w:r>
    </w:p>
    <w:p>
      <w:pPr>
        <w:pStyle w:val="Heading2"/>
      </w:pPr>
      <w:r>
        <w:rPr/>
        <w:t xml:space="preserve">Relevant EU legislation</w:t>
      </w:r>
    </w:p>
    <w:p>
      <w:pPr/>
      <w:r>
        <w:rPr/>
        <w:t xml:space="preserve">Malta is bound by the Union Resettlement and Humanitarian Admission Framework Regulation (URF). However, practical participation in resettlement activities has yet to take place. Resettlement programme is based on annual quotas within the framework of the European Resettlement Programme.</w:t>
      </w:r>
    </w:p>
    <w:p>
      <w:pPr>
        <w:pStyle w:val="Heading2"/>
      </w:pPr>
      <w:r>
        <w:rPr/>
        <w:t xml:space="preserve">National legislation</w:t>
      </w:r>
    </w:p>
    <w:p>
      <w:pPr/>
      <w:r>
        <w:rPr/>
        <w:t xml:space="preserve">Article 15 of the </w:t>
      </w:r>
      <w:hyperlink r:id="rId7" w:history="1">
        <w:r>
          <w:rPr>
            <w:color w:val="var(--word-link)"/>
          </w:rPr>
          <w:t xml:space="preserve">International Protection Act</w:t>
        </w:r>
      </w:hyperlink>
      <w:r>
        <w:rPr/>
        <w:t xml:space="preserve">, Chapter 420 of the Laws of Malta stipulates that the Minister (responsible for asylum and migration) may, at the written request of an applicant, or of a recognized refugee or of a person enjoying subsidiary protection, and, where necessary, with the assistance of UNHCR, facilitate the resettlement of such person to another country and do all that is required for the purpose (Article 15 of </w:t>
      </w:r>
      <w:hyperlink r:id="rId7" w:history="1">
        <w:r>
          <w:rPr>
            <w:color w:val="var(--word-link)"/>
          </w:rPr>
          <w:t xml:space="preserve">International Protection Act</w:t>
        </w:r>
      </w:hyperlink>
      <w:r>
        <w:rPr/>
        <w:t xml:space="preserve">).</w:t>
      </w:r>
    </w:p>
    <w:p>
      <w:pPr/>
      <w:r>
        <w:rPr/>
        <w:t xml:space="preserve">There are no other legal provisions regulating resettlement of refugees to Malta from other countries.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responsible for migration and asylum: </w:t>
            </w:r>
            <w:hyperlink r:id="rId8" w:history="1">
              <w:r>
                <w:rPr>
                  <w:color w:val="var(--word-link)"/>
                </w:rPr>
                <w:t xml:space="preserve">Ministry for Home Affairs, Security and Employment</w:t>
              </w:r>
            </w:hyperlink>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9" w:history="1">
              <w:r>
                <w:rPr>
                  <w:color w:val="var(--word-link)"/>
                </w:rPr>
                <w:t xml:space="preserve">United Nations High Commissioner for Refugees</w:t>
              </w:r>
            </w:hyperlink>
            <w:r>
              <w:rPr/>
              <w:t xml:space="preserve"> (UNHCR)</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hyperlink r:id="rId10" w:history="1">
              <w:r>
                <w:rPr>
                  <w:color w:val="var(--word-link)"/>
                </w:rPr>
                <w:t xml:space="preserve">International Protection Agency</w:t>
              </w:r>
            </w:hyperlink>
            <w:r>
              <w:rPr/>
              <w:t xml:space="preserve"> (IPA) </w:t>
            </w:r>
          </w:p>
          <w:p>
            <w:pPr/>
            <w:r>
              <w:rPr/>
              <w:t xml:space="preserve">Health authorities from the </w:t>
            </w:r>
            <w:hyperlink r:id="rId11" w:history="1">
              <w:r>
                <w:rPr>
                  <w:color w:val="var(--word-link)"/>
                </w:rPr>
                <w:t xml:space="preserve">Ministry of Health </w:t>
              </w:r>
            </w:hyperlink>
          </w:p>
          <w:p>
            <w:pPr/>
            <w:r>
              <w:rPr/>
              <w:t xml:space="preserve">Immigration Branch – </w:t>
            </w:r>
            <w:hyperlink r:id="rId12" w:history="1">
              <w:r>
                <w:rPr>
                  <w:color w:val="var(--word-link)"/>
                </w:rPr>
                <w:t xml:space="preserve">Malta Police Force</w:t>
              </w:r>
            </w:hyperlink>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hyperlink r:id="rId13" w:history="1">
              <w:r>
                <w:rPr>
                  <w:color w:val="var(--word-link)"/>
                </w:rPr>
                <w:t xml:space="preserve">International Organization for Migration</w:t>
              </w:r>
            </w:hyperlink>
            <w:r>
              <w:rPr/>
              <w:t xml:space="preserve"> (IOM)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hyperlink r:id="rId13" w:history="1">
              <w:r>
                <w:rPr>
                  <w:color w:val="var(--word-link)"/>
                </w:rPr>
                <w:t xml:space="preserve">International Organization for Migration</w:t>
              </w:r>
            </w:hyperlink>
            <w:r>
              <w:rPr/>
              <w:t xml:space="preserve"> (IOM)</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hyperlink r:id="rId14" w:history="1">
              <w:r>
                <w:rPr>
                  <w:color w:val="var(--word-link)"/>
                </w:rPr>
                <w:t xml:space="preserve">Agency for the Welfare of Asylum Seekers</w:t>
              </w:r>
            </w:hyperlink>
            <w:r>
              <w:rPr/>
              <w:t xml:space="preserve"> (AWAS) </w:t>
            </w:r>
          </w:p>
          <w:p>
            <w:pPr/>
            <w:hyperlink r:id="rId15" w:history="1">
              <w:r>
                <w:rPr>
                  <w:color w:val="var(--word-link)"/>
                </w:rPr>
                <w:t xml:space="preserve">Identity Malta Agency </w:t>
              </w:r>
            </w:hyperlink>
          </w:p>
          <w:p>
            <w:pPr/>
            <w:r>
              <w:rPr/>
              <w:t xml:space="preserve">Health authorities from the </w:t>
            </w:r>
            <w:hyperlink r:id="rId11" w:history="1">
              <w:r>
                <w:rPr>
                  <w:color w:val="var(--word-link)"/>
                </w:rPr>
                <w:t xml:space="preserve">Ministry of Health </w:t>
              </w:r>
            </w:hyperlink>
          </w:p>
          <w:p>
            <w:pPr/>
            <w:r>
              <w:rPr/>
              <w:t xml:space="preserve">Social security services from the </w:t>
            </w:r>
            <w:hyperlink r:id="rId16" w:history="1">
              <w:r>
                <w:rPr>
                  <w:color w:val="var(--word-link)"/>
                </w:rPr>
                <w:t xml:space="preserve">Department of Social Security </w:t>
              </w:r>
            </w:hyperlink>
          </w:p>
          <w:p>
            <w:pPr/>
            <w:r>
              <w:rPr/>
              <w:t xml:space="preserve">Education department from the </w:t>
            </w:r>
            <w:hyperlink r:id="rId17" w:history="1">
              <w:r>
                <w:rPr>
                  <w:color w:val="var(--word-link)"/>
                </w:rPr>
                <w:t xml:space="preserve">Ministry of Education</w:t>
              </w:r>
            </w:hyperlink>
          </w:p>
        </w:tc>
      </w:tr>
    </w:tbl>
    <w:p>
      <w:pPr>
        <w:pStyle w:val="Heading2"/>
      </w:pPr>
      <w:r>
        <w:rPr/>
        <w:t xml:space="preserve">Programmes currently in place</w:t>
      </w:r>
    </w:p>
    <w:p>
      <w:pPr/>
      <w:r>
        <w:rPr/>
        <w:t xml:space="preserve">Currently Malta does not implement resettlement and humanitarian admissions programmes.</w:t>
      </w:r>
    </w:p>
    <w:p>
      <w:pPr>
        <w:pStyle w:val="Heading2"/>
      </w:pPr>
      <w:r>
        <w:rPr/>
        <w:t xml:space="preserve">National quotas on resettlement and humanitarian admissions</w:t>
      </w:r>
    </w:p>
    <w:p>
      <w:pPr>
        <w:pStyle w:val="Heading2"/>
      </w:pPr>
      <w:r>
        <w:rPr/>
        <w:t xml:space="preserve">National commitments for resettlement, humanitarian admissions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0</w:t>
            </w:r>
          </w:p>
        </w:tc>
        <w:tc>
          <w:tcPr>
            <w:tcW w:w="2268" w:type="dxa"/>
            <w:noWrap/>
          </w:tcPr>
          <w:p>
            <w:pPr/>
            <w:r>
              <w:rPr/>
              <w:t xml:space="preserve">0</w:t>
            </w:r>
          </w:p>
        </w:tc>
        <w:tc>
          <w:tcPr>
            <w:tcW w:w="2268" w:type="dxa"/>
            <w:noWrap/>
          </w:tcPr>
          <w:p>
            <w:pPr/>
            <w:r>
              <w:rPr/>
              <w:t xml:space="preserve">0</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pStyle w:val="Heading2"/>
      </w:pPr>
      <w:r>
        <w:rPr/>
        <w:t xml:space="preserve">Procedural and practical arrangements</w:t>
      </w:r>
    </w:p>
    <w:p>
      <w:pPr>
        <w:pStyle w:val="Heading2"/>
      </w:pPr>
      <w:r>
        <w:rPr/>
        <w:t xml:space="preserve">The admission procedure</w:t>
      </w:r>
    </w:p>
    <w:p>
      <w:pPr/>
      <w:r>
        <w:rPr/>
        <w:t xml:space="preserve">Currently Malta does not implement resettlement programmes</w:t>
      </w:r>
    </w:p>
    <w:p>
      <w:pPr>
        <w:pStyle w:val="Heading2"/>
      </w:pPr>
      <w:r>
        <w:rPr/>
        <w:t xml:space="preserve">Type of protection granted and residence permit issued after the admission procedure</w:t>
      </w:r>
    </w:p>
    <w:p>
      <w:pPr/>
      <w:r>
        <w:rPr/>
        <w:t xml:space="preserve">Currently Malta does not implement resettlement programmes</w:t>
      </w:r>
    </w:p>
    <w:p>
      <w:pPr>
        <w:pStyle w:val="Heading2"/>
      </w:pPr>
      <w:r>
        <w:rPr/>
        <w:t xml:space="preserve">Pre-departure assistance</w:t>
      </w:r>
    </w:p>
    <w:p>
      <w:pPr/>
      <w:r>
        <w:rPr/>
        <w:t xml:space="preserve">Currently Malta does not implement resettlement programmes</w:t>
      </w:r>
    </w:p>
    <w:p>
      <w:pPr>
        <w:pStyle w:val="Heading2"/>
      </w:pPr>
      <w:r>
        <w:rPr/>
        <w:t xml:space="preserve">Travel arrangements</w:t>
      </w:r>
    </w:p>
    <w:p>
      <w:pPr/>
      <w:r>
        <w:rPr/>
        <w:t xml:space="preserve">Currently Malta does not implement resettlement programmes</w:t>
      </w:r>
    </w:p>
    <w:p>
      <w:pPr>
        <w:pStyle w:val="Heading2"/>
      </w:pPr>
      <w:r>
        <w:rPr/>
        <w:t xml:space="preserve">Arrival and reception</w:t>
      </w:r>
    </w:p>
    <w:p>
      <w:pPr/>
      <w:r>
        <w:rPr/>
        <w:t xml:space="preserve">Currently Malta does not implement resettlement programmes</w:t>
      </w:r>
    </w:p>
    <w:p>
      <w:pPr>
        <w:pStyle w:val="Heading2"/>
      </w:pPr>
      <w:r>
        <w:rPr/>
        <w:t xml:space="preserve">Integration support to resettled and admitted refugees</w:t>
      </w:r>
    </w:p>
    <w:p>
      <w:pPr/>
      <w:r>
        <w:rPr/>
        <w:t xml:space="preserve">Currently Malta does not implement resettlement programmes</w:t>
      </w:r>
    </w:p>
    <w:p>
      <w:pPr>
        <w:pStyle w:val="Heading2"/>
      </w:pPr>
      <w:r>
        <w:rPr/>
        <w:t xml:space="preserve">Resettlement programmes</w:t>
      </w:r>
    </w:p>
    <w:p>
      <w:pPr/>
      <w:r>
        <w:rPr/>
        <w:t xml:space="preserve">Currently Malta does not implement resettlement programmes</w:t>
      </w:r>
    </w:p>
    <w:p>
      <w:pPr>
        <w:pStyle w:val="Heading2"/>
      </w:pPr>
      <w:r>
        <w:rPr/>
        <w:t xml:space="preserve">Humanitarian admission programmes</w:t>
      </w:r>
    </w:p>
    <w:p>
      <w:pPr/>
      <w:r>
        <w:rPr/>
        <w:t xml:space="preserve">Currently Malta does not implement humanitarian admission programmes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Malta does not implement community sponsorship programmes.</w:t>
      </w:r>
    </w:p>
    <w:p>
      <w:pPr>
        <w:pStyle w:val="Heading2"/>
      </w:pPr>
      <w:r>
        <w:rPr/>
        <w:t xml:space="preserve">Community sponsorship schemes linked to civil society-led humanitarian admission programmes</w:t>
      </w:r>
    </w:p>
    <w:p>
      <w:pPr/>
      <w:r>
        <w:rPr/>
        <w:t xml:space="preserve">Currently Malta does not implement community sponsorship programmes.</w:t>
      </w:r>
    </w:p>
    <w:p>
      <w:pPr>
        <w:pStyle w:val="Heading2"/>
      </w:pPr>
      <w:r>
        <w:rPr/>
        <w:t xml:space="preserve">Community sponsorship schemes linked to other complementary pathways</w:t>
      </w:r>
    </w:p>
    <w:p>
      <w:pPr/>
      <w:r>
        <w:rPr/>
        <w:t xml:space="preserve">Currently Malta does not implement community sponsorship programmes.</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homeaffairs.gov.mt/" TargetMode="External"/><Relationship Id="rId9" Type="http://schemas.openxmlformats.org/officeDocument/2006/relationships/hyperlink" Target="https://www.unhcr.org/mt/" TargetMode="External"/><Relationship Id="rId10" Type="http://schemas.openxmlformats.org/officeDocument/2006/relationships/hyperlink" Target="https://homeaffairs.gov.mt/en/MHAS-Departments/International%20Protection%20Agency/Pages/Refugee.aspx" TargetMode="External"/><Relationship Id="rId11" Type="http://schemas.openxmlformats.org/officeDocument/2006/relationships/hyperlink" Target="https://deputyprimeminister.gov.mt/en/Pages/health.aspx" TargetMode="External"/><Relationship Id="rId12" Type="http://schemas.openxmlformats.org/officeDocument/2006/relationships/hyperlink" Target="https://pulizija.gov.mt/mt/Pages/Home.aspx" TargetMode="External"/><Relationship Id="rId13" Type="http://schemas.openxmlformats.org/officeDocument/2006/relationships/hyperlink" Target="https://malta.iom.int/" TargetMode="External"/><Relationship Id="rId14" Type="http://schemas.openxmlformats.org/officeDocument/2006/relationships/hyperlink" Target="https://homeaffairs.gov.mt/en/MHAS-Departments/awas/Pages/AWAS.aspx" TargetMode="External"/><Relationship Id="rId15" Type="http://schemas.openxmlformats.org/officeDocument/2006/relationships/hyperlink" Target="https://www.identitymalta.com/" TargetMode="External"/><Relationship Id="rId16" Type="http://schemas.openxmlformats.org/officeDocument/2006/relationships/hyperlink" Target="https://socialsecurity.gov.mt/en/" TargetMode="External"/><Relationship Id="rId17" Type="http://schemas.openxmlformats.org/officeDocument/2006/relationships/hyperlink" Target="https://education.gov.mt/en/Pages/educ.aspx"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2026-07-12T15:03:27+00:00</dcterms:created>
  <dcterms:modified xsi:type="dcterms:W3CDTF">2026-07-12T15:03:27+00:00</dcterms:modified>
</cp:coreProperties>
</file>

<file path=docProps/custom.xml><?xml version="1.0" encoding="utf-8"?>
<Properties xmlns="http://schemas.openxmlformats.org/officeDocument/2006/custom-properties" xmlns:vt="http://schemas.openxmlformats.org/officeDocument/2006/docPropsVTypes"/>
</file>