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Among the strategic objectives for 2026 is the speeding up of the processing of applications for international protection and contributing to the fight against human trafficking and smuggling networks.</w:t>
      </w:r>
    </w:p>
    <w:p>
      <w:pPr/>
      <w:r>
        <w:rPr/>
        <w:t xml:space="preserve">The details of the Action Plan can be consulted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Cyprus governance | Διακυβέρνηση (2 January, 2026), Ετήσιο Πρόγραμμα Δράσης Υφυπουργείου Μετανάστευσης και Διεθνούς Προστασίας [Annual Action Plan of the Deputy Ministry of Migration and International Protection],</w:t>
      </w:r>
      <w:hyperlink r:id="rId9" w:history="1">
        <w:r>
          <w:rPr>
            <w:color w:val="0444c4"/>
            <w:u w:val="single"/>
          </w:rPr>
          <w:t xml:space="preserve">https://www.diakivernisi.gov.cy/gr/1-kybernhtiko-ergo/ethsios-programmatismos-diakybernhshs-2026/1-etisio-programma-drasis-yfypoyrgeioy-metanasteysis-kai-diethnoys-prostasias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02.01.2026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FC226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diakivernisi.gov.cy/assets/modules/wnp/articles/202511/481/docs/.pdf" TargetMode="External"/><Relationship Id="rId9" Type="http://schemas.openxmlformats.org/officeDocument/2006/relationships/hyperlink" Target="https://www.diakivernisi.gov.cy/gr/1-kybernhtiko-ergo/ethsios-programmatismos-diakybernhshs-2026/1-etisio-programma-drasis-yfypoyrgeioy-metanasteysis-kai-diethnoys-prostasia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2026-08-29T22:12:19+00:00</dcterms:created>
  <dcterms:modified xsi:type="dcterms:W3CDTF">2026-08-29T22:12:19+00:00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