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Second instance determination - Switzerland</w:t>
      </w:r>
    </w:p>
    <w:p>
      <w:pPr>
        <w:pStyle w:val="Heading2"/>
      </w:pPr>
      <w:r>
        <w:rPr/>
        <w:t xml:space="preserve">Overview of second instance determination</w:t>
      </w:r>
    </w:p>
    <w:p>
      <w:pPr/>
      <w:r>
        <w:rPr/>
        <w:t xml:space="preserve">For information on second instance determination in Switzerland, please refer to </w:t>
      </w:r>
      <w:hyperlink r:id="rId7" w:history="1">
        <w:r>
          <w:rPr>
            <w:color w:val="var(--word-link)"/>
          </w:rPr>
          <w:t xml:space="preserve">Second Instance Determination - Switzerland</w:t>
        </w:r>
      </w:hyperlink>
      <w:r>
        <w:rPr/>
        <w:t xml:space="preserve"> on the </w:t>
      </w:r>
      <w:hyperlink r:id="rId8" w:history="1">
        <w:r>
          <w:rPr>
            <w:color w:val="var(--word-link)"/>
          </w:rPr>
          <w:t xml:space="preserve">EUAA Caselaw Database</w:t>
        </w:r>
      </w:hyperlink>
      <w:r>
        <w:rPr/>
        <w:t xml:space="preserve">.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12-07-2026</w:t>
    </w:r>
  </w:p>
  <w:p>
    <w:pPr>
      <w:spacing w:before="0" w:after="0"/>
    </w:pPr>
    <w:r>
      <w:rPr>
        <w:sz w:val="16"/>
        <w:szCs w:val="16"/>
      </w:rPr>
      <w:t xml:space="preserve">Second instance determination - Switzerland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selaw.euaa.europa.eu/Pages/asylum-appeals-systems.aspx?country=Switzerland" TargetMode="External"/><Relationship Id="rId8" Type="http://schemas.openxmlformats.org/officeDocument/2006/relationships/hyperlink" Target="https://caselaw.euaa.europa.eu/Pages/default.aspx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2026-07-12T05:55:02+00:00</dcterms:created>
  <dcterms:modified xsi:type="dcterms:W3CDTF">2026-07-12T05:55:02+00:00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