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Switzerland</w:t>
      </w:r>
    </w:p>
    <w:p>
      <w:pPr>
        <w:pStyle w:val="Heading2"/>
      </w:pPr>
      <w:r>
        <w:rPr/>
        <w:t xml:space="preserve">Second instance determination - Switzerland</w:t>
      </w:r>
    </w:p>
    <w:p>
      <w:pPr>
        <w:numPr>
          <w:ilvl w:val="0"/>
          <w:numId w:val="4"/>
        </w:numPr>
      </w:pPr>
      <w:hyperlink w:anchor="section-1091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Switzerland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Switzerland, please refer to </w:t>
      </w:r>
      <w:hyperlink r:id="rId8" w:history="1">
        <w:r>
          <w:rPr>
            <w:color w:val="0444c4"/>
            <w:u w:val="single"/>
          </w:rPr>
          <w:t xml:space="preserve">Second Instance Determination - Switzerland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Switzerland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F75A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91" TargetMode="External"/><Relationship Id="rId8" Type="http://schemas.openxmlformats.org/officeDocument/2006/relationships/hyperlink" Target="https://caselaw.euaa.europa.eu/Pages/asylum-appeals-systems.aspx?country=Switzerland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2026-10-14T21:01:40+00:00</dcterms:created>
  <dcterms:modified xsi:type="dcterms:W3CDTF">2026-10-14T21:01:40+00:00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