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clarifies arrangements in judicial review proceedings challenging tribunal decisions zzzzzz</w:t>
        </w:r>
      </w:hyperlink>
    </w:p>
    <w:p>
      <w:pPr/>
      <w:r>
        <w:rPr/>
        <w:t xml:space="preserve">The Chairperson of the International Protection Appeals Tribunal has issued a </w:t>
      </w:r>
      <w:hyperlink r:id="rId8" w:history="1">
        <w:r>
          <w:rPr>
            <w:color w:val="var(--word-link)"/>
          </w:rPr>
          <w:t xml:space="preserve">Clarification of Arrangements in Judicial Review Proceedings Challenging Tribunal Decision</w:t>
        </w:r>
      </w:hyperlink>
      <w:r>
        <w:rPr/>
        <w:t xml:space="preserve">. </w:t>
      </w:r>
    </w:p>
    <w:p>
      <w:pPr/>
      <w:r>
        <w:rPr/>
        <w:t xml:space="preserve">The Tribunal requests that all Applicants who have taken judicial review proceedings arising from a Tribunal decision keep the Tribunal informed of the progress of such proceedings and notify the Tribunal of any consequential orders and/or settlement agreements. </w:t>
      </w:r>
    </w:p>
    <w:p>
      <w:pPr/>
      <w:r>
        <w:rPr/>
        <w:t xml:space="preserve">The Tribunal also requests that Applicants who obtain an Order from the Superior Courts staying the progressing of an Appeal before the Tribunal, or who have received leave in respect of same, notify the Tribunal that such Order or leave has been obtained at their earliest convenience.</w:t>
      </w:r>
    </w:p>
    <w:p>
      <w:pPr/>
      <w:r>
        <w:rPr>
          <w:b w:val="1"/>
          <w:bCs w:val="1"/>
        </w:rPr>
        <w:t xml:space="preserve">Source(s)</w:t>
      </w:r>
    </w:p>
    <w:p>
      <w:pPr>
        <w:numPr>
          <w:ilvl w:val="0"/>
          <w:numId w:val="4"/>
        </w:numPr>
      </w:pPr>
      <w:r>
        <w:rPr/>
        <w:t xml:space="preserve">International Protection Appeals Tribunal | An Binse um Achomharic i dtaobh Cosaint Idirnáisiúnta (5 January, 2026), [Clarification of Arrangements in Judicial Review Proceedings Challenging Tribunal Decision],</w:t>
      </w:r>
      <w:hyperlink r:id="rId9" w:history="1">
        <w:r>
          <w:rPr>
            <w:color w:val="var(--word-link)"/>
          </w:rPr>
          <w:t xml:space="preserve">https://www.protectionappeals.ie/clarification-of-arrangements-in-judicial-review-proceedings-challenging-tribunal-decision/</w:t>
        </w:r>
      </w:hyperlink>
    </w:p>
    <w:p>
      <w:pPr/>
      <w:r>
        <w:rPr>
          <w:b w:val="1"/>
          <w:bCs w:val="1"/>
        </w:rPr>
        <w:t xml:space="preserve">Date of development</w:t>
      </w:r>
    </w:p>
    <w:p>
      <w:pPr/>
      <w:r>
        <w:rPr/>
        <w:t xml:space="preserve">05.01.2026</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 Legal assistance and representation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88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clarifies-arrangements-judicial-review-proceedings-challenging-tribunal" TargetMode="External"/><Relationship Id="rId8" Type="http://schemas.openxmlformats.org/officeDocument/2006/relationships/hyperlink" Target="https://www.protectionappeals.ie/wp-content/uploads/2026/01/Clarification-of-Arrangements-in-Judicial-Review-Proceedings-Challenging-Tribunal-Decision.pdf" TargetMode="External"/><Relationship Id="rId9" Type="http://schemas.openxmlformats.org/officeDocument/2006/relationships/hyperlink" Target="https://www.protectionappeals.ie/clarification-of-arrangements-in-judicial-review-proceedings-challenging-tribunal-decis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2026-07-18T17:17:16+00:00</dcterms:created>
  <dcterms:modified xsi:type="dcterms:W3CDTF">2026-07-18T17:17:16+00:00</dcterms:modified>
</cp:coreProperties>
</file>

<file path=docProps/custom.xml><?xml version="1.0" encoding="utf-8"?>
<Properties xmlns="http://schemas.openxmlformats.org/officeDocument/2006/custom-properties" xmlns:vt="http://schemas.openxmlformats.org/officeDocument/2006/docPropsVTypes"/>
</file>