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Lithuanian Red Cross publishes its 2025 monitoring report focusing on access to the procedure zzzzzz</w:t>
        </w:r>
      </w:hyperlink>
    </w:p>
    <w:p>
      <w:pPr/>
      <w:r>
        <w:rPr/>
        <w:t xml:space="preserve">The Lithuanian Red Cross published its 2025 monitoring </w:t>
      </w:r>
      <w:hyperlink r:id="rId8" w:history="1">
        <w:r>
          <w:rPr>
            <w:color w:val="var(--word-link)"/>
          </w:rPr>
          <w:t xml:space="preserve">report</w:t>
        </w:r>
      </w:hyperlink>
      <w:r>
        <w:rPr/>
        <w:t xml:space="preserve">, which focuses on challenges faced by third-country nationals applying for international protection at the border. The report highlights that the SBGS needs to improve transparency, specifically on the use of body cameras (an issue which was also observed by the Ombudsperson and the Supreme Court) and other barriers when filing an application at the designated access points, e.g. suspending access to pedestrians at the Medininkai and Šalčininkai border-crossing points. </w:t>
      </w:r>
    </w:p>
    <w:p>
      <w:pPr/>
      <w:r>
        <w:rPr/>
        <w:t xml:space="preserve">The report mentions the number of asylum applications which are accepted from Russian and Belarusian nationals. Despite the unchanged situation in the countries, the number decreased to almost 0 due to clearer security checks. Finally, the paper focused on the possibility to apply for asylum at the Minsk embassy, a practice which was the subject of a complaint directed to the Ombudsperson. </w:t>
      </w:r>
    </w:p>
    <w:p>
      <w:pPr/>
      <w:r>
        <w:rPr>
          <w:b w:val="1"/>
          <w:bCs w:val="1"/>
        </w:rPr>
        <w:t xml:space="preserve">Source(s)</w:t>
      </w:r>
    </w:p>
    <w:p>
      <w:pPr>
        <w:numPr>
          <w:ilvl w:val="0"/>
          <w:numId w:val="4"/>
        </w:numPr>
      </w:pPr>
      <w:r>
        <w:rPr/>
        <w:t xml:space="preserve">Lithuanian Red Cross | Lietuvos Raudonasis Kryžius (21 January, 2026), Prieiga prie prieglobsčio procedūros Lietuvos Respublikos diplomatinėse atstovybėse užsienyje ir Valstybės sienos apsaugos tarnybos pasienio kontrolės punktuose: papildymas 2025 [Access to the Asylum Procedure at the Diplomatic Missions of the Republic of Lithuania Abroad and at the State Border Guard Service Border Control Points: Supplement 2025],</w:t>
      </w:r>
      <w:hyperlink r:id="rId9" w:history="1">
        <w:r>
          <w:rPr>
            <w:color w:val="var(--word-link)"/>
          </w:rPr>
          <w:t xml:space="preserve">https://redcross.lt/wp-content/uploads/2024/10/PRIEIGA-PRIE-PROCEDUROS-LT-2025.pdf</w:t>
        </w:r>
      </w:hyperlink>
    </w:p>
    <w:p>
      <w:pPr/>
      <w:r>
        <w:rPr>
          <w:b w:val="1"/>
          <w:bCs w:val="1"/>
        </w:rPr>
        <w:t xml:space="preserve">Date of development</w:t>
      </w:r>
    </w:p>
    <w:p>
      <w:pPr/>
      <w:r>
        <w:rPr/>
        <w:t xml:space="preserve">21.01.2026</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165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lithuanian-red-cross-publishes-its-2025-monitoring-report-focusing-access" TargetMode="External"/><Relationship Id="rId8" Type="http://schemas.openxmlformats.org/officeDocument/2006/relationships/hyperlink" Target="https://redcross.lt/wp-content/uploads/2024/10/ACCESS-TO-PROCEDURE-EN-2025.pdf" TargetMode="External"/><Relationship Id="rId9" Type="http://schemas.openxmlformats.org/officeDocument/2006/relationships/hyperlink" Target="https://redcross.lt/wp-content/uploads/2024/10/PRIEIGA-PRIE-PROCEDUROS-LT-2025.pd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2026-07-17T21:04:19+00:00</dcterms:created>
  <dcterms:modified xsi:type="dcterms:W3CDTF">2026-07-17T21:04:19+00:00</dcterms:modified>
</cp:coreProperties>
</file>

<file path=docProps/custom.xml><?xml version="1.0" encoding="utf-8"?>
<Properties xmlns="http://schemas.openxmlformats.org/officeDocument/2006/custom-properties" xmlns:vt="http://schemas.openxmlformats.org/officeDocument/2006/docPropsVTypes"/>
</file>