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Strasbourg signs Charter to protect female asylum applicants from different forms of violence zzzzzz</w:t>
        </w:r>
      </w:hyperlink>
    </w:p>
    <w:p>
      <w:pPr/>
      <w:r>
        <w:rPr/>
        <w:t xml:space="preserve">Strasbourg, following Marseille and Bordeaux, became the third regional branch of the French Office for Immigration and Integration OFII to sign on 1 December 2025 a Charter for the protection of female asylum seekers who are victims of different forms of violence and human trafficking. </w:t>
      </w:r>
    </w:p>
    <w:p>
      <w:pPr/>
      <w:r>
        <w:rPr/>
        <w:t xml:space="preserve">Didier Leschi, Director-General of OFII, and four key stakeholders from the Bas-Rhin region signed the Charter to formalise their commitment to better detect, guide and support women at risk of violence or exploitation.</w:t>
      </w:r>
    </w:p>
    <w:p>
      <w:pPr/>
      <w:r>
        <w:rPr/>
        <w:t xml:space="preserve">The Strasbourg Charter is based on three commitments which are common to the previous signatures of Marseille and Bordeaux: </w:t>
      </w:r>
    </w:p>
    <w:p>
      <w:pPr>
        <w:numPr>
          <w:ilvl w:val="0"/>
          <w:numId w:val="4"/>
        </w:numPr>
      </w:pPr>
      <w:r>
        <w:rPr/>
        <w:t xml:space="preserve">The appointment of a representative by each organisation</w:t>
      </w:r>
    </w:p>
    <w:p>
      <w:pPr>
        <w:numPr>
          <w:ilvl w:val="0"/>
          <w:numId w:val="4"/>
        </w:numPr>
      </w:pPr>
      <w:r>
        <w:rPr/>
        <w:t xml:space="preserve">The implementation of a joint training strategy to strengthen a shared understanding of violence against women</w:t>
      </w:r>
    </w:p>
    <w:p>
      <w:pPr>
        <w:numPr>
          <w:ilvl w:val="0"/>
          <w:numId w:val="4"/>
        </w:numPr>
      </w:pPr>
      <w:r>
        <w:rPr/>
        <w:t xml:space="preserve">Enhanced operational coordination to streamline exchanges and facilitate the management of complex situations</w:t>
      </w:r>
    </w:p>
    <w:p>
      <w:pPr/>
      <w:r>
        <w:rPr/>
        <w:t xml:space="preserve">The objectives set out in this Charter demonstrate a clear commitment to detect, support and protect vulnerable women throughout their asylum procedure, including through the provision of emergency accommodation. </w:t>
      </w:r>
    </w:p>
    <w:p>
      <w:pPr/>
      <w:r>
        <w:rPr/>
        <w:t xml:space="preserve">In case of unavailability in the Bas-Rhin region or the need to move away from the local area, OFII can direct women to specialised places located in other regions, in particular when there is a risk of violence, exploitation or threats of reprisals against the victims or their children.</w:t>
      </w:r>
    </w:p>
    <w:p>
      <w:pPr/>
      <w:r>
        <w:rPr/>
        <w:t xml:space="preserve">There is already consideration being given to rolling out the charter in Haut-Rhin to strengthen regional coherence.</w:t>
      </w:r>
    </w:p>
    <w:p>
      <w:pPr/>
      <w:r>
        <w:rPr/>
        <w:t xml:space="preserve">The OFII currently provides 300 specialised accommodation places at national level with an additional 50 places to be added by 2026.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5"/>
        </w:numPr>
      </w:pPr>
      <w:r>
        <w:rPr/>
        <w:t xml:space="preserve">French Office for the Immigration and the Integration | Office Français de l'Immigration et de l'Intégration (9 December, 2025), Signature de la charte pour la protection des femmes demandeuses d’asile à Strasbourg [Signing of Strasbourg Charter for protecting female asylum seekers],</w:t>
      </w:r>
      <w:hyperlink r:id="rId8" w:history="1">
        <w:r>
          <w:rPr>
            <w:color w:val="var(--word-link)"/>
          </w:rPr>
          <w:t xml:space="preserve">https://www.ofii.fr/signature-de-la-charte-pour-la-protection-des-femmes-demandeuses-dasile-a-strasbourg/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09.12.2025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France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Reception, Applicants with special needs, Victims of torture, inhuman/degrading treatment, Victims of trafficking, Victims of GBV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08-07-2026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A625E9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FABB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france/strasbourg-signs-charter-protect-female-asylum-applicants-different-forms" TargetMode="External"/><Relationship Id="rId8" Type="http://schemas.openxmlformats.org/officeDocument/2006/relationships/hyperlink" Target="https://www.ofii.fr/signature-de-la-charte-pour-la-protection-des-femmes-demandeuses-dasile-a-strasbourg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2026-07-08T00:40:39+00:00</dcterms:created>
  <dcterms:modified xsi:type="dcterms:W3CDTF">2026-07-08T00:40:39+00:00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