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EUAA and SAR discuss Operational Plan with a focus on the Pact zzzzzz</w:t>
        </w:r>
      </w:hyperlink>
    </w:p>
    <w:p>
      <w:pPr/>
      <w:r>
        <w:rPr/>
        <w:t xml:space="preserve">The SAR coordinators met with EUAA Coordinator for the Operational Pan with Bulgaria to discuss the implementation of the new rules under the Pact on Migration and Asylum, as a primary focus for activities in 2026. These preparations were highlighted as very relevant also in view of the fact that Bulgaria is at the external border of the EU.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(30 October, 2025), Иван Иванов и Йоргос Раскос с екипи на ДАБ и EUAA обсъдиха подготовката за прилагане на новите правила за убежище [Ivan Ivanov and Giorgos Raskos with teams of the SAR and EUAA discussed the preparations for the implementation of the new asylum rules],</w:t>
      </w:r>
      <w:hyperlink r:id="rId8" w:history="1">
        <w:r>
          <w:rPr>
            <w:color w:val="var(--word-link)"/>
          </w:rPr>
          <w:t xml:space="preserve">https://aref.government.bg/en/node/1000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EUAA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095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euaa-and-sar-discuss-operational-plan-focus-pact" TargetMode="External"/><Relationship Id="rId8" Type="http://schemas.openxmlformats.org/officeDocument/2006/relationships/hyperlink" Target="https://aref.government.bg/en/node/100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2026-07-08T00:40:37+00:00</dcterms:created>
  <dcterms:modified xsi:type="dcterms:W3CDTF">2026-07-08T00:40:37+00:00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