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Fundamental rights officers visit reception and registration centers in Bulgaria</w:t>
        </w:r>
      </w:hyperlink>
    </w:p>
    <w:p>
      <w:pPr/>
      <w:r>
        <w:rPr/>
        <w:t xml:space="preserve">Fundamental rights officers from EUAA, Frontex, Europol and FRA visited several reception and registration centers in Bulgaria, located in Sofia, Pastrogor and Harmanli.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(10 October, 2025), Делегация от служители по основните права на агенции на ЕС на посещение в центровете на Държавна агенция за бежанците [Delegation of fundamental rights officers of EU agencies visiting the centres of the State Agency for Refugees],</w:t>
      </w:r>
      <w:hyperlink r:id="rId8" w:history="1">
        <w:r>
          <w:rPr>
            <w:color w:val="0444c4"/>
            <w:u w:val="single"/>
          </w:rPr>
          <w:t xml:space="preserve">https://aref.government.bg/en/node/987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EUAA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74FA0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fundamental-rights-officers-visit-reception-and-registration-centers-bulgaria" TargetMode="External"/><Relationship Id="rId8" Type="http://schemas.openxmlformats.org/officeDocument/2006/relationships/hyperlink" Target="https://aref.government.bg/en/node/987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2026-08-26T11:03:44+00:00</dcterms:created>
  <dcterms:modified xsi:type="dcterms:W3CDTF">2026-08-26T11:03:44+00:00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