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UNE published a note on families with children that remain in reception centres after refusal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UNE’s new practice note addresses long-term resident children in families who have remained in Norway after an asylum or protection refusal. It explains how UNE assesses a child’s attachment and best interests under Section 38 of the Immigration Act when deciding whether to grant residence on humanitarian grounds. The note distinguishes between less compelling and compelling immigration-regulatory considerations, emphasises that assessments are concrete and discretionary, and draws on around 160 decisions from 2016–2025 to illustrate how these principles are applied in practice.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Immigration Appeals Board | Utlendingsnemnda (11 December, 2025), Korleis vurderer UNE barn si tilknyting når familiar har vore lenge i Noreg? [How does UNE assess a child’s attachment when families have been in Norway for a long time?],</w:t>
      </w:r>
      <w:hyperlink r:id="rId9" w:history="1">
        <w:r>
          <w:rPr>
            <w:color w:val="0444c4"/>
            <w:u w:val="single"/>
          </w:rPr>
          <w:t xml:space="preserve">https://www.une.no/aktuelt/arkiv/2025/korleis-vurderer-une-barn-si-tilknyting-nar-familiar-har-vore-lenge-i-noreg/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11.12.2025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Norway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Applicants with special needs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06C7D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orway/une-published-note-families-children-remain-reception-centres-after-refusal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une.no/aktuelt/arkiv/2025/korleis-vurderer-une-barn-si-tilknyting-nar-familiar-har-vore-lenge-i-noreg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2026-10-15T05:25:48+00:00</dcterms:created>
  <dcterms:modified xsi:type="dcterms:W3CDTF">2026-10-15T05:25:48+00:00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