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FRA report calls for effective fundamental rights assessment of high-risk AI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Drawing on interviews with providers, deployers and experts, a new report from the EU Agency for Fundamental Rights (FRA) reveals that many in the field of high-risk AI systems do not know how to systematically assess or mitigate these risks. Strengthening awareness and rights-compliant implementation of the AI act is key to protecting people’s rights while enabling innovation and creating legal certainty for businesses.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European Union Agency for Fundamental Rights (4 December, 2025), [Assessing high-risk artificial intelligence],</w:t>
      </w:r>
      <w:hyperlink r:id="rId9" w:history="1">
        <w:r>
          <w:rPr>
            <w:color w:val="var(--word-link)"/>
          </w:rPr>
          <w:t xml:space="preserve">https://fra.europa.eu/en/publication/2025/assessing-high-risk-ai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European Union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778E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european-union/fra-report-calls-effective-fundamental-rights-assessment-high-risk-ai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fra.europa.eu/en/publication/2025/assessing-high-risk-ai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2026-07-30T10:27:23+00:00</dcterms:created>
  <dcterms:modified xsi:type="dcterms:W3CDTF">2026-07-30T10:27:23+00:00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