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to the Reception Act are published zzzzzz</w:t>
        </w:r>
      </w:hyperlink>
    </w:p>
    <w:p>
      <w:pPr/>
      <w:r>
        <w:rPr/>
        <w:t xml:space="preserve">The amendments allow Fedasil to limit or withdraw material reception conditions when it is established that the applicant had already been granted international protection in another EU Member State, or when a minor applies for international protection after the parents had already applied for international protection in the child's name as well.</w:t>
      </w:r>
    </w:p>
    <w:p>
      <w:pPr/>
      <w:r>
        <w:rPr/>
        <w:t xml:space="preserve">In addition, the amendments clarify that only Fedasil can provide material reception conditions for applicants, which consists exclusively of material support. Thus, applicants can no longer receive social assistance from the CPAS.</w:t>
      </w:r>
    </w:p>
    <w:p>
      <w:pPr/>
      <w:r>
        <w:rPr>
          <w:b w:val="1"/>
          <w:bCs w:val="1"/>
        </w:rPr>
        <w:t xml:space="preserve">Source(s)</w:t>
      </w:r>
    </w:p>
    <w:p>
      <w:pPr>
        <w:numPr>
          <w:ilvl w:val="0"/>
          <w:numId w:val="4"/>
        </w:numPr>
      </w:pPr>
      <w:r>
        <w:rPr/>
        <w:t xml:space="preserve">Belgian Official Gazette | Moniteur belge | Belgisch Staatsblad (14 July, 2025), Loi du 14 juillet 2025 modifiant la loi du 12 janvier 2007 sur l'accueil des demandeurs d'asile et de certaines autres catégories d'étrangers [Act amending the Act of 12 January 2007 on the reception of asylum-seekers and certain other categories of foreigners],</w:t>
      </w:r>
      <w:hyperlink r:id="rId8" w:history="1">
        <w:r>
          <w:rPr>
            <w:color w:val="var(--word-link)"/>
          </w:rPr>
          <w:t xml:space="preserve">https://www.ejustice.just.fgov.be/eli/loi/2025/07/14/2025005511/moniteur</w:t>
        </w:r>
      </w:hyperlink>
    </w:p>
    <w:p>
      <w:pPr/>
      <w:r>
        <w:rPr>
          <w:b w:val="1"/>
          <w:bCs w:val="1"/>
        </w:rPr>
        <w:t xml:space="preserve">Date of development</w:t>
      </w:r>
    </w:p>
    <w:p>
      <w:pPr/>
      <w:r>
        <w:rPr/>
        <w:t xml:space="preserve">14.07.2025</w:t>
      </w:r>
    </w:p>
    <w:p>
      <w:pPr/>
      <w:r>
        <w:rPr>
          <w:b w:val="1"/>
          <w:bCs w:val="1"/>
        </w:rPr>
        <w:t xml:space="preserve">Country</w:t>
      </w:r>
    </w:p>
    <w:p>
      <w:pPr/>
      <w:r>
        <w:rPr/>
        <w:t xml:space="preserve">Belgium</w:t>
      </w:r>
    </w:p>
    <w:p>
      <w:pPr/>
      <w:r>
        <w:rPr>
          <w:b w:val="1"/>
          <w:bCs w:val="1"/>
        </w:rPr>
        <w:t xml:space="preserve">Thematic area(s)</w:t>
      </w:r>
    </w:p>
    <w:p>
      <w:pPr/>
      <w:r>
        <w:rPr/>
        <w:t xml:space="preserve">Reception, Accommodation, Material reception conditions, Rights, obligations and limitations, Sanctions, Applicants with special needs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7C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amendments-reception-act-are-published" TargetMode="External"/><Relationship Id="rId8" Type="http://schemas.openxmlformats.org/officeDocument/2006/relationships/hyperlink" Target="https://www.ejustice.just.fgov.be/eli/loi/2025/07/14/2025005511/moniteu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2026-07-07T21:01:23+00:00</dcterms:created>
  <dcterms:modified xsi:type="dcterms:W3CDTF">2026-07-07T21:01:23+00:00</dcterms:modified>
</cp:coreProperties>
</file>

<file path=docProps/custom.xml><?xml version="1.0" encoding="utf-8"?>
<Properties xmlns="http://schemas.openxmlformats.org/officeDocument/2006/custom-properties" xmlns:vt="http://schemas.openxmlformats.org/officeDocument/2006/docPropsVTypes"/>
</file>