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Federal Ministry of the Interior reports significant decrease in asylum applications in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Federal Ministry of the Interior announced that there was a significant 51% decrease in asylum applications in 2025, compared to 2024. Compared to 2023, this reflects a 66% decrease in first instance asylum applications.</w:t>
      </w:r>
    </w:p>
    <w:p>
      <w:pPr/>
      <w:r>
        <w:rPr/>
        <w:t xml:space="preserve">The Federal Ministry of the Interior stated in a press release that a shift in migration policy with rejections at the borders, suspension of family reunification, removal of fast-track naturalisation and the increase in returning individuals is having an effect.</w:t>
      </w:r>
    </w:p>
    <w:p>
      <w:pPr/>
      <w:r>
        <w:rPr/>
        <w:t xml:space="preserve">The number of first instance asylum applications were:</w:t>
      </w:r>
    </w:p>
    <w:p>
      <w:pPr/>
      <w:r>
        <w:rPr/>
        <w:t xml:space="preserve">in 2025: 113,236</w:t>
      </w:r>
      <w:br/>
      <w:r>
        <w:rPr/>
        <w:t xml:space="preserve">in 2024: 229,751</w:t>
      </w:r>
      <w:br/>
      <w:r>
        <w:rPr/>
        <w:t xml:space="preserve">in 2023: 329,120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Ministry of the Interior | Bundesministerium des Innern (4 January, 2026), Asylzahlen sinken im Jahr 2025 deutlich [Asylum numbers will fall significantly in 2025],</w:t>
      </w:r>
      <w:hyperlink r:id="rId9" w:history="1">
        <w:r>
          <w:rPr>
            <w:color w:val="0444c4"/>
            <w:u w:val="single"/>
          </w:rPr>
          <w:t xml:space="preserve">https://www.bmi.bund.de/SharedDocs/pressemitteilungen/DE/2026/01/260104_asyl2025.html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04.01.2026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6AEE7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federal-ministry-interior-reports-significant-decrease-asylum-applications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bmi.bund.de/SharedDocs/pressemitteilungen/DE/2026/01/260104_asyl2025.html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2026-10-30T03:28:56+00:00</dcterms:created>
  <dcterms:modified xsi:type="dcterms:W3CDTF">2026-10-30T03:28:56+00:00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