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Chancellor of Justice shares opinion on quota refugee decision-making process zzzzzz</w:t>
        </w:r>
      </w:hyperlink>
    </w:p>
    <w:p>
      <w:pPr/>
      <w:r>
        <w:rPr/>
        <w:t xml:space="preserve">The Ministry of the Interior informed that she will take into consideration the Chancellor of Justice decision issued on the decision making process when discussing quota refugees.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(30 April, 2025), Ministeri Rantanen oikeuskanslerin ratkaisusta pakolaiskiintiöasiassa [Minister Rantanen on the Chancellor of Justice's decision on the refugee quota issue],</w:t>
      </w:r>
      <w:hyperlink r:id="rId8" w:history="1">
        <w:r>
          <w:rPr>
            <w:color w:val="var(--word-link)"/>
          </w:rPr>
          <w:t xml:space="preserve">https://intermin.fi/-/ministeri-rantanen-oikeuskanslerin-ratkaisusta-pakolaiskiintioasiassa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102D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chancellor-justice-shares-opinion-quota-refugee-decision-making-process" TargetMode="External"/><Relationship Id="rId8" Type="http://schemas.openxmlformats.org/officeDocument/2006/relationships/hyperlink" Target="https://intermin.fi/-/ministeri-rantanen-oikeuskanslerin-ratkaisusta-pakolaiskiintioasiass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2026-07-17T12:05:12+00:00</dcterms:created>
  <dcterms:modified xsi:type="dcterms:W3CDTF">2026-07-17T12:05:12+00:00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