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  <w:hyperlink r:id="rId7" w:history="1">
        <w:r>
          <w:rPr>
            <w:color w:val="var(--word-link)"/>
          </w:rPr>
          <w:t xml:space="preserve">Ministry of Immigration and Asylum publishes April 2025 data on unaccompanied minors in Greece zzzzzz</w:t>
        </w:r>
      </w:hyperlink>
    </w:p>
    <w:p>
      <w:pPr/>
      <w:r>
        <w:rPr/>
        <w:t xml:space="preserve">The Ministry of Immigration and Asylum published a factsheet on unaccompanied minors in Greece in April 2025. According to the factsheet, the estimated number of unaccompanied minors in Greece was 2,375 of which:</w:t>
      </w:r>
    </w:p>
    <w:p>
      <w:pPr>
        <w:numPr>
          <w:ilvl w:val="0"/>
          <w:numId w:val="4"/>
        </w:numPr>
      </w:pPr>
      <w:r>
        <w:rPr/>
        <w:t xml:space="preserve">92% boys</w:t>
      </w:r>
    </w:p>
    <w:p>
      <w:pPr>
        <w:numPr>
          <w:ilvl w:val="0"/>
          <w:numId w:val="4"/>
        </w:numPr>
      </w:pPr>
      <w:r>
        <w:rPr/>
        <w:t xml:space="preserve">8% girls</w:t>
      </w:r>
    </w:p>
    <w:p>
      <w:pPr>
        <w:numPr>
          <w:ilvl w:val="0"/>
          <w:numId w:val="4"/>
        </w:numPr>
      </w:pPr>
      <w:r>
        <w:rPr/>
        <w:t xml:space="preserve">11.5% &lt; 15 years old</w:t>
      </w:r>
    </w:p>
    <w:p>
      <w:pPr>
        <w:numPr>
          <w:ilvl w:val="0"/>
          <w:numId w:val="4"/>
        </w:numPr>
      </w:pPr>
      <w:r>
        <w:rPr/>
        <w:t xml:space="preserve">1,371 in accommodation centres</w:t>
      </w:r>
    </w:p>
    <w:p>
      <w:pPr>
        <w:numPr>
          <w:ilvl w:val="0"/>
          <w:numId w:val="4"/>
        </w:numPr>
      </w:pPr>
      <w:r>
        <w:rPr/>
        <w:t xml:space="preserve">215 in semi-independent living apartments</w:t>
      </w:r>
    </w:p>
    <w:p>
      <w:pPr>
        <w:numPr>
          <w:ilvl w:val="0"/>
          <w:numId w:val="4"/>
        </w:numPr>
      </w:pPr>
      <w:r>
        <w:rPr/>
        <w:t xml:space="preserve">141 in emergency accommodation structures</w:t>
      </w:r>
    </w:p>
    <w:p>
      <w:pPr>
        <w:numPr>
          <w:ilvl w:val="0"/>
          <w:numId w:val="4"/>
        </w:numPr>
      </w:pPr>
      <w:r>
        <w:rPr/>
        <w:t xml:space="preserve">644 in Reception and Identification Centres (RICs) and Closed Controlled Access Centers (CCACs) in the islands</w:t>
      </w:r>
    </w:p>
    <w:p>
      <w:pPr>
        <w:numPr>
          <w:ilvl w:val="0"/>
          <w:numId w:val="4"/>
        </w:numPr>
      </w:pPr>
      <w:r>
        <w:rPr/>
        <w:t xml:space="preserve">4 minors in Controlled Accommodation Facilities for Asylum Seekers</w:t>
      </w:r>
      <w:br/>
      <w:r>
        <w:rPr/>
        <w:t xml:space="preserve"> </w:t>
      </w:r>
    </w:p>
    <w:p>
      <w:pPr/>
      <w:r>
        <w:rPr/>
        <w:t xml:space="preserve">The accommodation capacity for unaccompanied minors was:</w:t>
      </w:r>
    </w:p>
    <w:p>
      <w:pPr>
        <w:numPr>
          <w:ilvl w:val="0"/>
          <w:numId w:val="5"/>
        </w:numPr>
      </w:pPr>
      <w:r>
        <w:rPr/>
        <w:t xml:space="preserve">1,745 places in accommodation structures (accommodation centres/semi-independent living apartments); and</w:t>
      </w:r>
    </w:p>
    <w:p>
      <w:pPr>
        <w:numPr>
          <w:ilvl w:val="0"/>
          <w:numId w:val="5"/>
        </w:numPr>
      </w:pPr>
      <w:r>
        <w:rPr/>
        <w:t xml:space="preserve">154 places in emergency accommodation facilities.</w:t>
      </w:r>
      <w:br/>
      <w:r>
        <w:rPr/>
        <w:t xml:space="preserve"> </w:t>
      </w:r>
    </w:p>
    <w:p>
      <w:pPr/>
      <w:r>
        <w:rPr/>
        <w:t xml:space="preserve">The factsheet is available </w:t>
      </w:r>
      <w:hyperlink r:id="rId8" w:history="1">
        <w:r>
          <w:rPr>
            <w:color w:val="var(--word-link)"/>
          </w:rPr>
          <w:t xml:space="preserve">here</w:t>
        </w:r>
      </w:hyperlink>
      <w:r>
        <w:rPr/>
        <w:t xml:space="preserve">.</w:t>
      </w:r>
    </w:p>
    <w:p>
      <w:pPr/>
      <w:r>
        <w:rPr>
          <w:b w:val="1"/>
          <w:bCs w:val="1"/>
        </w:rPr>
        <w:t xml:space="preserve">Source(s)</w:t>
      </w:r>
    </w:p>
    <w:p>
      <w:pPr>
        <w:numPr>
          <w:ilvl w:val="0"/>
          <w:numId w:val="6"/>
        </w:numPr>
      </w:pPr>
      <w:r>
        <w:rPr/>
        <w:t xml:space="preserve">Ministry of Migration and Asylum | Υπουργείο Μετανάστευσης και Ασύλου (3 April, 2025), [Unaccompanied Minors -April 2025],</w:t>
      </w:r>
      <w:hyperlink r:id="rId9" w:history="1">
        <w:r>
          <w:rPr>
            <w:color w:val="var(--word-link)"/>
          </w:rPr>
          <w:t xml:space="preserve">https://migration.gov.gr/en/asynodeyta-anilika-stoicheia-aprilioy-2025/</w:t>
        </w:r>
      </w:hyperlink>
    </w:p>
    <w:p>
      <w:pPr/>
      <w:r>
        <w:rPr>
          <w:b w:val="1"/>
          <w:bCs w:val="1"/>
        </w:rPr>
        <w:t xml:space="preserve">Date of development</w:t>
      </w:r>
    </w:p>
    <w:p>
      <w:pPr/>
      <w:r>
        <w:rPr/>
        <w:t xml:space="preserve">03.04.2025</w:t>
      </w:r>
    </w:p>
    <w:p>
      <w:pPr/>
      <w:r>
        <w:rPr>
          <w:b w:val="1"/>
          <w:bCs w:val="1"/>
        </w:rPr>
        <w:t xml:space="preserve">Country</w:t>
      </w:r>
    </w:p>
    <w:p>
      <w:pPr/>
      <w:r>
        <w:rPr/>
        <w:t xml:space="preserve">Greece</w:t>
      </w:r>
    </w:p>
    <w:p>
      <w:pPr/>
      <w:r>
        <w:rPr>
          <w:b w:val="1"/>
          <w:bCs w:val="1"/>
        </w:rPr>
        <w:t xml:space="preserve">Thematic area(s)</w:t>
      </w:r>
    </w:p>
    <w:p>
      <w:pPr/>
      <w:r>
        <w:rPr/>
        <w:t xml:space="preserve">General asylum and migration development, Reception, Accommodation, Applicants with special needs, Unaccompanied minors</w:t>
      </w:r>
    </w:p>
    <w:p>
      <w:pPr/>
      <w:r>
        <w:rPr>
          <w:b w:val="1"/>
          <w:bCs w:val="1"/>
        </w:rPr>
        <w:t xml:space="preserve">Development type</w:t>
      </w:r>
    </w:p>
    <w:p>
      <w:pPr/>
      <w:r>
        <w:rPr/>
        <w:t xml:space="preserve">Publication</w:t>
      </w:r>
    </w:p>
    <w:sectPr>
      <w:headerReference w:type="default" r:id="rId10"/>
      <w:footerReference w:type="default" r:id="rId11"/>
      <w:pgSz w:orient="portrait" w:w="11905.511811023622" w:h="16837.79527559055"/>
      <w:pgMar w:top="1701" w:right="1417" w:bottom="1417" w:left="1417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42" w:after="284"/>
      <w:pBdr>
        <w:bottom w:val="single" w:sz="4" w:color="1071D8"/>
      </w:pBdr>
    </w:pPr>
    <w:r>
      <w:rPr/>
      <w:t xml:space="preserve"/>
    </w:r>
  </w:p>
  <w:p>
    <w:pPr>
      <w:spacing w:before="0" w:after="0"/>
    </w:pPr>
    <w:r>
      <w:rPr>
        <w:sz w:val="16"/>
        <w:szCs w:val="16"/>
      </w:rPr>
      <w:t xml:space="preserve">Document generated on 18-07-2026</w:t>
    </w:r>
  </w:p>
  <w:tbl>
    <w:tblGrid>
      <w:gridCol w:w="7500" w:type="dxa"/>
      <w:gridCol w:w="1572" w:type="dxa"/>
    </w:tblGrid>
    <w:tr>
      <w:trPr/>
      <w:tc>
        <w:tcPr>
          <w:tcW w:w="7500" w:type="dxa"/>
          <w:noWrap/>
        </w:tcPr>
        <w:p>
          <w:pPr>
            <w:spacing w:before="0" w:after="0"/>
          </w:pPr>
          <w:r>
            <w:rPr>
              <w:sz w:val="16"/>
              <w:szCs w:val="16"/>
            </w:rPr>
            <w:t xml:space="preserve">For more information, please contact us at: </w:t>
          </w:r>
          <w:hyperlink r:id="rId1" w:history="1">
            <w:r>
              <w:rPr>
                <w:color w:val="0444c4"/>
                <w:sz w:val="16"/>
                <w:szCs w:val="16"/>
                <w:u w:val="single"/>
              </w:rPr>
              <w:t xml:space="preserve">ids@euaa.europa.eu</w:t>
            </w:r>
          </w:hyperlink>
        </w:p>
      </w:tc>
      <w:tc>
        <w:tcPr>
          <w:tcW w:w="1572" w:type="dxa"/>
          <w:noWrap/>
        </w:tcPr>
        <w:p>
          <w:pPr>
            <w:jc w:val="end"/>
            <w:spacing w:before="0" w:after="0"/>
          </w:pPr>
          <w:r>
            <w:fldChar w:fldCharType="begin"/>
          </w:r>
          <w:r>
            <w:rPr>
              <w:sz w:val="16"/>
              <w:szCs w:val="16"/>
            </w:rP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884" w:type="dxa"/>
      <w:gridCol w:w="4040" w:type="dxa"/>
    </w:tblGrid>
    <w:tr>
      <w:trPr/>
      <w:tc>
        <w:tcPr>
          <w:tcW w:w="1884" w:type="dxa"/>
          <w:noWrap/>
        </w:tcPr>
        <w:p>
          <w:pPr>
            <w:jc w:val="start"/>
          </w:pPr>
          <w:r>
            <w:pict>
              <v:shape type="#_x0000_t75" stroked="f" style="width:80pt; height:39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4040" w:type="dxa"/>
          <w:noWrap/>
        </w:tcPr>
        <w:p>
          <w:pPr>
            <w:jc w:val="start"/>
          </w:pPr>
          <w:r>
            <w:pict>
              <v:shape type="#_x0000_t75" stroked="f" style="width:202pt; height:41pt; margin-left:0pt; margin-top:0pt; mso-position-horizontal:left; mso-position-vertical:top; mso-position-horizontal-relative:char; mso-position-vertical-relative:line;">
                <w10:wrap type="inline"/>
                <v:imagedata r:id="rId2" o:title=""/>
              </v:shape>
            </w:pict>
          </w:r>
        </w:p>
      </w:tc>
    </w:tr>
  </w:tbl>
  <w:p>
    <w:pPr>
      <w:spacing w:after="35"/>
    </w:pPr>
    <w:r>
      <w:rPr/>
      <w:t xml:space="preserve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8B119A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BDB1B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9E210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480" w:after="480"/>
    </w:pPr>
    <w:rPr>
      <w:rFonts w:ascii="Calibri" w:hAnsi="Calibri" w:eastAsia="Calibri" w:cs="Calibri"/>
      <w:color w:val="24234C"/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240" w:after="240"/>
    </w:pPr>
    <w:rPr>
      <w:rFonts w:ascii="Calibri" w:hAnsi="Calibri" w:eastAsia="Calibri" w:cs="Calibri"/>
      <w:color w:val="24234C"/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240" w:after="120"/>
    </w:pPr>
    <w:rPr>
      <w:rFonts w:ascii="Calibri" w:hAnsi="Calibri" w:eastAsia="Calibri" w:cs="Calibri"/>
      <w:color w:val="24234C"/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p.euaa.europa.eu/developments/greece/ministry-immigration-and-asylum-publishes-april-2025-data-unaccompanied-minors" TargetMode="External"/><Relationship Id="rId8" Type="http://schemas.openxmlformats.org/officeDocument/2006/relationships/hyperlink" Target="https://migration.gov.gr/wp-content/uploads/2025/04/SGVP_Statistics-April_EN.pdf" TargetMode="External"/><Relationship Id="rId9" Type="http://schemas.openxmlformats.org/officeDocument/2006/relationships/hyperlink" Target="https://migration.gov.gr/en/asynodeyta-anilika-stoicheia-aprilioy-2025/" TargetMode="External"/><Relationship Id="rId10" Type="http://schemas.openxmlformats.org/officeDocument/2006/relationships/header" Target="header1.xml"/><Relationship Id="rId11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ids@euaa.europa.eu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png"/><Relationship Id="rId2" Type="http://schemas.openxmlformats.org/officeDocument/2006/relationships/image" Target="media/header1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2026-07-18T17:16:55+00:00</dcterms:created>
  <dcterms:modified xsi:type="dcterms:W3CDTF">2026-07-18T17:16:55+00:00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