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Norway</w:t>
      </w:r>
    </w:p>
    <w:p>
      <w:pPr>
        <w:pStyle w:val="Heading2"/>
      </w:pPr>
      <w:r>
        <w:rPr/>
        <w:t xml:space="preserve">Second instance determination - Norway</w:t>
      </w:r>
    </w:p>
    <w:p>
      <w:pPr>
        <w:numPr>
          <w:ilvl w:val="0"/>
          <w:numId w:val="4"/>
        </w:numPr>
      </w:pPr>
      <w:hyperlink w:anchor="section-1017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Norway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Norway, please refer to </w:t>
      </w:r>
      <w:hyperlink r:id="rId8" w:history="1">
        <w:r>
          <w:rPr>
            <w:color w:val="0444c4"/>
            <w:u w:val="single"/>
          </w:rPr>
          <w:t xml:space="preserve">Second Instance Determination - Norway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Norway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8BB36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17" TargetMode="External"/><Relationship Id="rId8" Type="http://schemas.openxmlformats.org/officeDocument/2006/relationships/hyperlink" Target="https://caselaw.euaa.europa.eu/Pages/asylum-appeals-systems.aspx?country=Norway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2026-10-15T00:00:58+00:00</dcterms:created>
  <dcterms:modified xsi:type="dcterms:W3CDTF">2026-10-15T00:00:58+00:00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