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Netherlands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the Netherlands, please refer to </w:t>
      </w:r>
      <w:hyperlink r:id="rId7" w:history="1">
        <w:r>
          <w:rPr>
            <w:color w:val="0444c4"/>
            <w:u w:val="single"/>
          </w:rPr>
          <w:t xml:space="preserve">Second Instance Determination - Netherlands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16-10-2026</w:t>
    </w:r>
  </w:p>
  <w:p>
    <w:pPr>
      <w:spacing w:before="0" w:after="0"/>
    </w:pPr>
    <w:r>
      <w:rPr>
        <w:sz w:val="16"/>
        <w:szCs w:val="16"/>
      </w:rPr>
      <w:t xml:space="preserve">Second instance determination - Netherlands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Netherlands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2026-10-16T01:04:47+00:00</dcterms:created>
  <dcterms:modified xsi:type="dcterms:W3CDTF">2026-10-16T01:04:47+00:00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