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Case Law: humanitarian protection in Spain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Supreme Court reaffirmed its interpretational doctrine considering that a temporary authorisation to reside based on humanitarian grounds is a third level of protection within the international protection framework governed by Spanish Asylum Law and highlighted that a situation of vulnerability demands the ex officio consideration of such protection.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General Council of the Judiciary | Consejo General del Poder Judicial (28 January, 2025), [Supreme Court [Tribunal Supremo], Applicants v Administracion del Estado (representada por la Abogacia del Estado), No 361/2025, ECLI:ES:TS:2025:361, 28 January 2025. Link redirects to the English summary in the EUAA Case Law Database.],</w:t>
      </w:r>
      <w:hyperlink r:id="rId9" w:history="1">
        <w:r>
          <w:rPr>
            <w:color w:val="var(--word-link)"/>
          </w:rPr>
          <w:t xml:space="preserve">https://caselaw.euaa.europa.eu/pages/viewcaselaw.aspx?CaseLawID=4863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Forms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Jurisprudence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990B4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case-law-humanitarian-protection-spai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caselaw.euaa.europa.eu/pages/viewcaselaw.aspx?CaseLawID=4863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2026-07-06T20:48:57+00:00</dcterms:created>
  <dcterms:modified xsi:type="dcterms:W3CDTF">2026-07-06T20:48:57+00:00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