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Case Law: humanitarian protection in Spain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Supreme Court reaffirmed its interpretational doctrine considering that a temporary authorisation to reside based on humanitarian grounds is a third level of protection within the international protection framework governed by Spanish Asylum Law and highlighted that a situation of vulnerability demands the ex officio consideration of such protection.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General Council of the Judiciary | Consejo General del Poder Judicial (28 January, 2025), [Supreme Court [Tribunal Supremo], Applicants v Administracion del Estado (representada por la Abogacia del Estado), No 361/2025, ECLI:ES:TS:2025:361, 28 January 2025. Link redirects to the English summary in the EUAA Case Law Database.],</w:t>
      </w:r>
      <w:hyperlink r:id="rId9" w:history="1">
        <w:r>
          <w:rPr>
            <w:color w:val="0444c4"/>
            <w:u w:val="single"/>
          </w:rPr>
          <w:t xml:space="preserve">https://caselaw.euaa.europa.eu/pages/viewcaselaw.aspx?CaseLawID=4863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Forms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Jurisprudence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31573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case-law-humanitarian-protection-spai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caselaw.euaa.europa.eu/pages/viewcaselaw.aspx?CaseLawID=4863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2026-10-09T20:28:19+00:00</dcterms:created>
  <dcterms:modified xsi:type="dcterms:W3CDTF">2026-10-09T20:28:19+00:00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