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Latvia</w:t>
      </w:r>
    </w:p>
    <w:p>
      <w:pPr>
        <w:pStyle w:val="Heading2"/>
      </w:pPr>
      <w:r>
        <w:rPr/>
        <w:t xml:space="preserve">Second instance determination - Latvia</w:t>
      </w:r>
    </w:p>
    <w:p>
      <w:pPr>
        <w:numPr>
          <w:ilvl w:val="0"/>
          <w:numId w:val="4"/>
        </w:numPr>
      </w:pPr>
      <w:hyperlink w:anchor="section-1009" w:history="1">
        <w:r>
          <w:rPr>
            <w:color w:val="0444c4"/>
            <w:u w:val="single"/>
          </w:rPr>
          <w:t xml:space="preserve">Overview of second instance determination</w:t>
        </w:r>
      </w:hyperlink>
    </w:p>
    <w:p>
      <w:pPr>
        <w:pStyle w:val="Heading1"/>
      </w:pPr>
      <w:r>
        <w:rPr/>
        <w:t xml:space="preserve">Second instance determination - Latvia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Latvia, please refer to </w:t>
      </w:r>
      <w:hyperlink r:id="rId8" w:history="1">
        <w:r>
          <w:rPr>
            <w:color w:val="0444c4"/>
            <w:u w:val="single"/>
          </w:rPr>
          <w:t xml:space="preserve">Second Instance Determination - Latvia</w:t>
        </w:r>
      </w:hyperlink>
      <w:r>
        <w:rPr/>
        <w:t xml:space="preserve"> on the </w:t>
      </w:r>
      <w:hyperlink r:id="rId9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Second instance determination - Latvia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29E0E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009" TargetMode="External"/><Relationship Id="rId8" Type="http://schemas.openxmlformats.org/officeDocument/2006/relationships/hyperlink" Target="https://caselaw.euaa.europa.eu/Pages/asylum-appeals-systems.aspx?country=Latvia" TargetMode="External"/><Relationship Id="rId9" Type="http://schemas.openxmlformats.org/officeDocument/2006/relationships/hyperlink" Target="https://caselaw.euaa.europa.eu/Pages/default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2026-10-15T06:46:25+00:00</dcterms:created>
  <dcterms:modified xsi:type="dcterms:W3CDTF">2026-10-15T06:46:25+00:00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