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Italy</w:t>
      </w:r>
    </w:p>
    <w:p>
      <w:pPr>
        <w:pStyle w:val="Heading2"/>
      </w:pPr>
      <w:r>
        <w:rPr/>
        <w:t xml:space="preserve">Second instance determination - Italy</w:t>
      </w:r>
    </w:p>
    <w:p>
      <w:pPr>
        <w:numPr>
          <w:ilvl w:val="0"/>
          <w:numId w:val="4"/>
        </w:numPr>
      </w:pPr>
      <w:hyperlink w:anchor="section-1007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Italy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Italy, please refer to </w:t>
      </w:r>
      <w:hyperlink r:id="rId8" w:history="1">
        <w:r>
          <w:rPr>
            <w:color w:val="0444c4"/>
            <w:u w:val="single"/>
          </w:rPr>
          <w:t xml:space="preserve">Second Instance Determination - Italy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Italy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0731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007" TargetMode="External"/><Relationship Id="rId8" Type="http://schemas.openxmlformats.org/officeDocument/2006/relationships/hyperlink" Target="https://caselaw.euaa.europa.eu/Pages/asylum-appeals-systems.aspx?country=Italy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2026-08-28T19:15:30+00:00</dcterms:created>
  <dcterms:modified xsi:type="dcterms:W3CDTF">2026-08-28T19:15:30+00:00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